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8CD6B" w14:textId="5871D266" w:rsidR="00A86216" w:rsidRPr="00C265D5" w:rsidRDefault="002E44D0" w:rsidP="00741DF8">
      <w:pPr>
        <w:pStyle w:val="Subtitle"/>
        <w:spacing w:after="360" w:line="240" w:lineRule="auto"/>
        <w:jc w:val="center"/>
        <w:rPr>
          <w:rStyle w:val="fontstyle01"/>
          <w:rFonts w:ascii="Segoe UI Semibold" w:hAnsi="Segoe UI Semibold"/>
          <w:b w:val="0"/>
          <w:bCs w:val="0"/>
          <w:i w:val="0"/>
          <w:iCs w:val="0"/>
          <w:color w:val="auto"/>
          <w:sz w:val="36"/>
          <w:szCs w:val="36"/>
        </w:rPr>
      </w:pPr>
      <w:r>
        <w:rPr>
          <w:rStyle w:val="fontstyle01"/>
          <w:rFonts w:ascii="Segoe UI Semibold" w:hAnsi="Segoe UI Semibold"/>
          <w:b w:val="0"/>
          <w:bCs w:val="0"/>
          <w:i w:val="0"/>
          <w:iCs w:val="0"/>
          <w:color w:val="auto"/>
          <w:sz w:val="36"/>
          <w:szCs w:val="36"/>
        </w:rPr>
        <w:t xml:space="preserve">Significant Exchange Losses and Sales Volume Drop bring Losses for </w:t>
      </w:r>
      <w:r w:rsidR="00741DF8" w:rsidRPr="00C265D5">
        <w:rPr>
          <w:rStyle w:val="fontstyle01"/>
          <w:rFonts w:ascii="Segoe UI Semibold" w:hAnsi="Segoe UI Semibold"/>
          <w:b w:val="0"/>
          <w:bCs w:val="0"/>
          <w:i w:val="0"/>
          <w:iCs w:val="0"/>
          <w:color w:val="auto"/>
          <w:sz w:val="36"/>
          <w:szCs w:val="36"/>
        </w:rPr>
        <w:t xml:space="preserve">Tokyo Cement </w:t>
      </w:r>
      <w:r>
        <w:rPr>
          <w:rStyle w:val="fontstyle01"/>
          <w:rFonts w:ascii="Segoe UI Semibold" w:hAnsi="Segoe UI Semibold"/>
          <w:b w:val="0"/>
          <w:bCs w:val="0"/>
          <w:i w:val="0"/>
          <w:iCs w:val="0"/>
          <w:color w:val="auto"/>
          <w:sz w:val="36"/>
          <w:szCs w:val="36"/>
        </w:rPr>
        <w:t xml:space="preserve">in </w:t>
      </w:r>
      <w:r w:rsidR="007808A4" w:rsidRPr="00C265D5">
        <w:rPr>
          <w:rStyle w:val="fontstyle01"/>
          <w:rFonts w:ascii="Segoe UI Semibold" w:hAnsi="Segoe UI Semibold"/>
          <w:b w:val="0"/>
          <w:bCs w:val="0"/>
          <w:i w:val="0"/>
          <w:iCs w:val="0"/>
          <w:color w:val="auto"/>
          <w:sz w:val="36"/>
          <w:szCs w:val="36"/>
        </w:rPr>
        <w:t>FY22 Q</w:t>
      </w:r>
      <w:r w:rsidR="00AF6FE0" w:rsidRPr="00C265D5">
        <w:rPr>
          <w:rStyle w:val="fontstyle01"/>
          <w:rFonts w:ascii="Segoe UI Semibold" w:hAnsi="Segoe UI Semibold"/>
          <w:b w:val="0"/>
          <w:bCs w:val="0"/>
          <w:i w:val="0"/>
          <w:iCs w:val="0"/>
          <w:color w:val="auto"/>
          <w:sz w:val="36"/>
          <w:szCs w:val="36"/>
        </w:rPr>
        <w:t>4</w:t>
      </w:r>
    </w:p>
    <w:p w14:paraId="631A05BF" w14:textId="645A80CA" w:rsidR="0012408C" w:rsidRPr="00C265D5" w:rsidRDefault="0012408C" w:rsidP="00AB14D7">
      <w:pPr>
        <w:pStyle w:val="Heading2"/>
        <w:rPr>
          <w:sz w:val="24"/>
          <w:szCs w:val="24"/>
        </w:rPr>
      </w:pPr>
      <w:r w:rsidRPr="00C265D5">
        <w:rPr>
          <w:sz w:val="24"/>
          <w:szCs w:val="24"/>
        </w:rPr>
        <w:t>Quarterly Financial Review</w:t>
      </w:r>
    </w:p>
    <w:p w14:paraId="4491057E" w14:textId="4665A7FD" w:rsidR="00280034" w:rsidRPr="00C265D5" w:rsidRDefault="00BB20CB" w:rsidP="006C6917">
      <w:r w:rsidRPr="00C265D5">
        <w:t xml:space="preserve">Tokyo Cement Group (Tokyo Cement) reported its </w:t>
      </w:r>
      <w:r w:rsidR="001638F2" w:rsidRPr="00C265D5">
        <w:t>financial performance</w:t>
      </w:r>
      <w:r w:rsidRPr="00C265D5">
        <w:t xml:space="preserve"> for the </w:t>
      </w:r>
      <w:r w:rsidR="00AF6FE0" w:rsidRPr="00C265D5">
        <w:t xml:space="preserve">fourth </w:t>
      </w:r>
      <w:r w:rsidRPr="00C265D5">
        <w:t>quarter end</w:t>
      </w:r>
      <w:r w:rsidR="00E24D07" w:rsidRPr="00C265D5">
        <w:t>ing</w:t>
      </w:r>
      <w:r w:rsidRPr="00C265D5">
        <w:t xml:space="preserve"> 3</w:t>
      </w:r>
      <w:r w:rsidR="00E0461E" w:rsidRPr="00C265D5">
        <w:t xml:space="preserve">1st </w:t>
      </w:r>
      <w:r w:rsidR="007808A4" w:rsidRPr="00C265D5">
        <w:t>March</w:t>
      </w:r>
      <w:r w:rsidR="00E0461E" w:rsidRPr="00C265D5">
        <w:t xml:space="preserve"> </w:t>
      </w:r>
      <w:r w:rsidRPr="00C265D5">
        <w:t>202</w:t>
      </w:r>
      <w:r w:rsidR="00AF6FE0" w:rsidRPr="00C265D5">
        <w:t>2</w:t>
      </w:r>
      <w:r w:rsidR="007D6D8E" w:rsidRPr="00C265D5">
        <w:t>,</w:t>
      </w:r>
      <w:r w:rsidRPr="00C265D5">
        <w:t xml:space="preserve"> with a turnover of Rs. </w:t>
      </w:r>
      <w:r w:rsidR="00AF6FE0" w:rsidRPr="00C265D5">
        <w:t>16,158</w:t>
      </w:r>
      <w:r w:rsidRPr="00C265D5">
        <w:t xml:space="preserve"> </w:t>
      </w:r>
      <w:r w:rsidR="00496173" w:rsidRPr="00C265D5">
        <w:t>million</w:t>
      </w:r>
      <w:r w:rsidRPr="00C265D5">
        <w:t xml:space="preserve"> reflecting a </w:t>
      </w:r>
      <w:r w:rsidR="00F933FA" w:rsidRPr="00C265D5">
        <w:t>y</w:t>
      </w:r>
      <w:r w:rsidRPr="00C265D5">
        <w:t>ear-on-</w:t>
      </w:r>
      <w:r w:rsidR="00F933FA" w:rsidRPr="00C265D5">
        <w:t>y</w:t>
      </w:r>
      <w:r w:rsidRPr="00C265D5">
        <w:t xml:space="preserve">ear growth of </w:t>
      </w:r>
      <w:r w:rsidR="00AF6FE0" w:rsidRPr="00C265D5">
        <w:t>31</w:t>
      </w:r>
      <w:r w:rsidRPr="00C265D5">
        <w:t xml:space="preserve">%, compared to Rs. </w:t>
      </w:r>
      <w:r w:rsidR="00AF6FE0" w:rsidRPr="00C265D5">
        <w:t>12,373</w:t>
      </w:r>
      <w:r w:rsidRPr="00C265D5">
        <w:t xml:space="preserve"> </w:t>
      </w:r>
      <w:r w:rsidR="00496173" w:rsidRPr="00C265D5">
        <w:t>million</w:t>
      </w:r>
      <w:r w:rsidRPr="00C265D5">
        <w:t xml:space="preserve"> during the same period last year.</w:t>
      </w:r>
      <w:r w:rsidR="0026625C" w:rsidRPr="00C265D5">
        <w:t xml:space="preserve"> Despite turnover growth, </w:t>
      </w:r>
      <w:r w:rsidR="004D0CF6" w:rsidRPr="00C265D5">
        <w:t xml:space="preserve">Tokyo </w:t>
      </w:r>
      <w:r w:rsidRPr="00C265D5">
        <w:t>Cement</w:t>
      </w:r>
      <w:r w:rsidR="004D0CF6" w:rsidRPr="00C265D5">
        <w:t>’s</w:t>
      </w:r>
      <w:r w:rsidRPr="00C265D5">
        <w:t xml:space="preserve"> sales volumes </w:t>
      </w:r>
      <w:r w:rsidR="001638F2" w:rsidRPr="00C265D5">
        <w:t>reduced</w:t>
      </w:r>
      <w:r w:rsidR="00E0461E" w:rsidRPr="00C265D5">
        <w:t xml:space="preserve"> </w:t>
      </w:r>
      <w:r w:rsidR="004D0CF6" w:rsidRPr="00C265D5">
        <w:t>by</w:t>
      </w:r>
      <w:r w:rsidRPr="00C265D5">
        <w:t xml:space="preserve"> </w:t>
      </w:r>
      <w:r w:rsidR="00791D93" w:rsidRPr="00C265D5">
        <w:t>11</w:t>
      </w:r>
      <w:r w:rsidRPr="00C265D5">
        <w:t xml:space="preserve">% compared to the </w:t>
      </w:r>
      <w:r w:rsidR="00AF6FE0" w:rsidRPr="00C265D5">
        <w:t>fourth</w:t>
      </w:r>
      <w:r w:rsidR="00E0461E" w:rsidRPr="00C265D5">
        <w:t xml:space="preserve"> </w:t>
      </w:r>
      <w:r w:rsidRPr="00C265D5">
        <w:t>quarter last year</w:t>
      </w:r>
      <w:r w:rsidR="00A15247" w:rsidRPr="00C265D5">
        <w:t>,</w:t>
      </w:r>
      <w:r w:rsidR="0026625C" w:rsidRPr="00C265D5">
        <w:t xml:space="preserve"> due to </w:t>
      </w:r>
      <w:r w:rsidR="008A1033" w:rsidRPr="00C265D5">
        <w:t xml:space="preserve">a </w:t>
      </w:r>
      <w:r w:rsidR="00FD6570" w:rsidRPr="00C265D5">
        <w:t xml:space="preserve">plant breakdown </w:t>
      </w:r>
      <w:r w:rsidR="008A1033" w:rsidRPr="00C265D5">
        <w:t xml:space="preserve">at one of the grinding mills </w:t>
      </w:r>
      <w:r w:rsidR="00FD6570" w:rsidRPr="00C265D5">
        <w:t xml:space="preserve">and </w:t>
      </w:r>
      <w:r w:rsidR="00AF6FE0" w:rsidRPr="00C265D5">
        <w:t>unavailability of raw material</w:t>
      </w:r>
      <w:r w:rsidR="00F933FA" w:rsidRPr="00C265D5">
        <w:t>s</w:t>
      </w:r>
      <w:r w:rsidR="00AF6FE0" w:rsidRPr="00C265D5">
        <w:t>.</w:t>
      </w:r>
      <w:r w:rsidR="00385D70" w:rsidRPr="00C265D5">
        <w:t xml:space="preserve"> </w:t>
      </w:r>
      <w:r w:rsidRPr="00C265D5">
        <w:t xml:space="preserve">The Group recorded </w:t>
      </w:r>
      <w:r w:rsidR="00791D93" w:rsidRPr="00C265D5">
        <w:t xml:space="preserve">a </w:t>
      </w:r>
      <w:r w:rsidRPr="00C265D5">
        <w:t xml:space="preserve">Rs. </w:t>
      </w:r>
      <w:r w:rsidR="00791D93" w:rsidRPr="00C265D5">
        <w:t>2,531 m</w:t>
      </w:r>
      <w:r w:rsidR="004D2853" w:rsidRPr="00C265D5">
        <w:t>illio</w:t>
      </w:r>
      <w:r w:rsidRPr="00C265D5">
        <w:t xml:space="preserve">n </w:t>
      </w:r>
      <w:proofErr w:type="gramStart"/>
      <w:r w:rsidR="00791D93" w:rsidRPr="00C265D5">
        <w:t>loss</w:t>
      </w:r>
      <w:proofErr w:type="gramEnd"/>
      <w:r w:rsidRPr="00C265D5">
        <w:t xml:space="preserve"> for the </w:t>
      </w:r>
      <w:r w:rsidR="00791D93" w:rsidRPr="00C265D5">
        <w:t>fourth</w:t>
      </w:r>
      <w:r w:rsidR="00DE7DC9" w:rsidRPr="00C265D5">
        <w:t xml:space="preserve"> </w:t>
      </w:r>
      <w:r w:rsidRPr="00C265D5">
        <w:t>quarter</w:t>
      </w:r>
      <w:r w:rsidR="00CF7924" w:rsidRPr="00C265D5">
        <w:t>,</w:t>
      </w:r>
      <w:r w:rsidRPr="00C265D5">
        <w:t xml:space="preserve"> </w:t>
      </w:r>
      <w:r w:rsidR="00791D93" w:rsidRPr="00C265D5">
        <w:t xml:space="preserve">of which the largest contribution came </w:t>
      </w:r>
      <w:r w:rsidR="00F933FA" w:rsidRPr="00C265D5">
        <w:t>from</w:t>
      </w:r>
      <w:r w:rsidR="00791D93" w:rsidRPr="00C265D5">
        <w:t xml:space="preserve"> exchange losses that amounted to Rs. 4,822 million</w:t>
      </w:r>
      <w:r w:rsidR="00280034" w:rsidRPr="00C265D5">
        <w:t>.</w:t>
      </w:r>
    </w:p>
    <w:p w14:paraId="70059F77" w14:textId="77777777" w:rsidR="002B693C" w:rsidRPr="00C265D5" w:rsidRDefault="002B693C" w:rsidP="006C6D12">
      <w:pPr>
        <w:spacing w:before="240" w:after="120"/>
        <w:rPr>
          <w:rFonts w:ascii="Segoe UI Semibold" w:hAnsi="Segoe UI Semibold" w:cs="Segoe UI Semibold"/>
          <w:sz w:val="24"/>
          <w:szCs w:val="24"/>
        </w:rPr>
      </w:pPr>
      <w:r w:rsidRPr="00C265D5">
        <w:rPr>
          <w:rFonts w:ascii="Segoe UI Semibold" w:hAnsi="Segoe UI Semibold" w:cs="Segoe UI Semibold"/>
          <w:sz w:val="24"/>
          <w:szCs w:val="24"/>
        </w:rPr>
        <w:t>Year in Review</w:t>
      </w:r>
    </w:p>
    <w:p w14:paraId="4CBAA11C" w14:textId="3125B93D" w:rsidR="00DA3AAC" w:rsidRPr="00C265D5" w:rsidRDefault="00F933FA" w:rsidP="002B693C">
      <w:r w:rsidRPr="00C265D5">
        <w:t>The Group’s year-on-year performance compar</w:t>
      </w:r>
      <w:r w:rsidR="007D6D8E" w:rsidRPr="00C265D5">
        <w:t>ison</w:t>
      </w:r>
      <w:r w:rsidR="0068197C" w:rsidRPr="00C265D5">
        <w:t xml:space="preserve"> </w:t>
      </w:r>
      <w:r w:rsidR="007D6D8E" w:rsidRPr="00C265D5">
        <w:t xml:space="preserve">against </w:t>
      </w:r>
      <w:r w:rsidR="0068197C" w:rsidRPr="00C265D5">
        <w:t>the previous f</w:t>
      </w:r>
      <w:r w:rsidRPr="00C265D5">
        <w:t xml:space="preserve">inancial </w:t>
      </w:r>
      <w:r w:rsidR="0068197C" w:rsidRPr="00C265D5">
        <w:t>y</w:t>
      </w:r>
      <w:r w:rsidRPr="00C265D5">
        <w:t xml:space="preserve">ear reflects </w:t>
      </w:r>
      <w:r w:rsidR="00DA3AAC" w:rsidRPr="00C265D5">
        <w:t xml:space="preserve">the impact of significant increases </w:t>
      </w:r>
      <w:r w:rsidR="00EA1752" w:rsidRPr="00C265D5">
        <w:t xml:space="preserve">in cost of goods </w:t>
      </w:r>
      <w:r w:rsidR="00DA3AAC" w:rsidRPr="00C265D5">
        <w:t xml:space="preserve">and </w:t>
      </w:r>
      <w:r w:rsidR="002F4353" w:rsidRPr="00C265D5">
        <w:t xml:space="preserve">shortages of raw materials due to USD </w:t>
      </w:r>
      <w:r w:rsidR="00DB1798" w:rsidRPr="00C265D5">
        <w:t>illiquidity</w:t>
      </w:r>
      <w:r w:rsidR="002F4353" w:rsidRPr="00C265D5">
        <w:t xml:space="preserve"> in the market</w:t>
      </w:r>
      <w:r w:rsidR="00A15247" w:rsidRPr="00C265D5">
        <w:t xml:space="preserve">. </w:t>
      </w:r>
      <w:r w:rsidR="00114BCD" w:rsidRPr="00C265D5">
        <w:t xml:space="preserve">Sales volume of Tokyo Cement </w:t>
      </w:r>
      <w:r w:rsidR="0068197C" w:rsidRPr="00C265D5">
        <w:t xml:space="preserve">showed a marginal </w:t>
      </w:r>
      <w:r w:rsidR="00114BCD" w:rsidRPr="00C265D5">
        <w:t>increase</w:t>
      </w:r>
      <w:r w:rsidR="0068197C" w:rsidRPr="00C265D5">
        <w:t xml:space="preserve"> of 1</w:t>
      </w:r>
      <w:r w:rsidR="00354A9E" w:rsidRPr="00C265D5">
        <w:t>%</w:t>
      </w:r>
      <w:r w:rsidR="0035512E" w:rsidRPr="00C265D5">
        <w:t xml:space="preserve"> for the financial year</w:t>
      </w:r>
      <w:r w:rsidR="007D6D8E" w:rsidRPr="00C265D5">
        <w:t>, w</w:t>
      </w:r>
      <w:r w:rsidR="00B75EF4" w:rsidRPr="00C265D5">
        <w:t xml:space="preserve">hilst turnover </w:t>
      </w:r>
      <w:r w:rsidR="00354A9E" w:rsidRPr="00C265D5">
        <w:t xml:space="preserve">saw </w:t>
      </w:r>
      <w:r w:rsidR="007D6D8E" w:rsidRPr="00C265D5">
        <w:t xml:space="preserve">a </w:t>
      </w:r>
      <w:r w:rsidR="00DA229C" w:rsidRPr="00C265D5">
        <w:t xml:space="preserve">year-on-year </w:t>
      </w:r>
      <w:r w:rsidR="007D6D8E" w:rsidRPr="00C265D5">
        <w:t xml:space="preserve">growth of 22%, </w:t>
      </w:r>
      <w:r w:rsidR="00114BCD" w:rsidRPr="00C265D5">
        <w:t xml:space="preserve">from Rs. </w:t>
      </w:r>
      <w:r w:rsidR="0068197C" w:rsidRPr="00C265D5">
        <w:t xml:space="preserve">42,962 </w:t>
      </w:r>
      <w:r w:rsidR="00114BCD" w:rsidRPr="00C265D5">
        <w:t xml:space="preserve">million to Rs. </w:t>
      </w:r>
      <w:r w:rsidR="0068197C" w:rsidRPr="00C265D5">
        <w:t>52,477</w:t>
      </w:r>
      <w:r w:rsidR="00114BCD" w:rsidRPr="00C265D5">
        <w:t xml:space="preserve"> million</w:t>
      </w:r>
      <w:r w:rsidR="00354A9E" w:rsidRPr="00C265D5">
        <w:t>.</w:t>
      </w:r>
      <w:r w:rsidR="00B75EF4" w:rsidRPr="00C265D5">
        <w:t xml:space="preserve"> </w:t>
      </w:r>
      <w:r w:rsidR="00056297" w:rsidRPr="00C265D5">
        <w:t>T</w:t>
      </w:r>
      <w:r w:rsidR="00354A9E" w:rsidRPr="00C265D5">
        <w:t>he Group</w:t>
      </w:r>
      <w:r w:rsidR="00056297" w:rsidRPr="00C265D5">
        <w:t xml:space="preserve"> recorded a loss of Rs. 453 million </w:t>
      </w:r>
      <w:r w:rsidR="00EA1752" w:rsidRPr="00C265D5">
        <w:t>for the</w:t>
      </w:r>
      <w:r w:rsidR="007B52C4" w:rsidRPr="00C265D5">
        <w:t xml:space="preserve"> FY 2021/22</w:t>
      </w:r>
      <w:r w:rsidR="000D3929" w:rsidRPr="00C265D5">
        <w:t>, with the exchange loss standing at Rs. 5,050 million for the year</w:t>
      </w:r>
      <w:r w:rsidR="00056297" w:rsidRPr="00C265D5">
        <w:t>.</w:t>
      </w:r>
    </w:p>
    <w:p w14:paraId="1888C3EC" w14:textId="22C3973C" w:rsidR="00A55A28" w:rsidRPr="00C265D5" w:rsidRDefault="001144F5" w:rsidP="006C6D12">
      <w:pPr>
        <w:spacing w:before="240" w:after="120"/>
        <w:rPr>
          <w:rFonts w:ascii="Segoe UI Semibold" w:hAnsi="Segoe UI Semibold" w:cs="Segoe UI Semibold"/>
          <w:sz w:val="24"/>
          <w:szCs w:val="24"/>
        </w:rPr>
      </w:pPr>
      <w:r w:rsidRPr="00C265D5">
        <w:rPr>
          <w:rFonts w:ascii="Segoe UI Semibold" w:hAnsi="Segoe UI Semibold" w:cs="Segoe UI Semibold"/>
          <w:sz w:val="24"/>
          <w:szCs w:val="24"/>
        </w:rPr>
        <w:t>Forex, Cost Increases and MRP Impact</w:t>
      </w:r>
    </w:p>
    <w:p w14:paraId="542E4F7F" w14:textId="311207F5" w:rsidR="009F41B0" w:rsidRPr="00C265D5" w:rsidRDefault="009F41B0" w:rsidP="00EC0CF2">
      <w:pPr>
        <w:spacing w:after="120"/>
      </w:pPr>
      <w:r w:rsidRPr="00C265D5">
        <w:t>During</w:t>
      </w:r>
      <w:r w:rsidR="00290F17" w:rsidRPr="00C265D5">
        <w:t xml:space="preserve"> the quarter price</w:t>
      </w:r>
      <w:r w:rsidR="0073479D" w:rsidRPr="00C265D5">
        <w:t>s</w:t>
      </w:r>
      <w:r w:rsidR="00290F17" w:rsidRPr="00C265D5">
        <w:t xml:space="preserve"> </w:t>
      </w:r>
      <w:r w:rsidR="002162A2" w:rsidRPr="00C265D5">
        <w:t xml:space="preserve">of </w:t>
      </w:r>
      <w:r w:rsidR="00B04B5E" w:rsidRPr="00C265D5">
        <w:t xml:space="preserve">all construction </w:t>
      </w:r>
      <w:r w:rsidR="00C06451" w:rsidRPr="00C265D5">
        <w:t xml:space="preserve">material </w:t>
      </w:r>
      <w:r w:rsidR="00B04B5E" w:rsidRPr="00C265D5">
        <w:t>spike</w:t>
      </w:r>
      <w:r w:rsidR="009A4C71" w:rsidRPr="00C265D5">
        <w:t>d sharply,</w:t>
      </w:r>
      <w:r w:rsidR="00B04B5E" w:rsidRPr="00C265D5">
        <w:t xml:space="preserve"> </w:t>
      </w:r>
      <w:r w:rsidRPr="00C265D5">
        <w:t>reflecting</w:t>
      </w:r>
      <w:r w:rsidR="00D23A32" w:rsidRPr="00C265D5">
        <w:t xml:space="preserve"> the high</w:t>
      </w:r>
      <w:r w:rsidR="00C06451" w:rsidRPr="00C265D5">
        <w:t>ly</w:t>
      </w:r>
      <w:r w:rsidR="00D23A32" w:rsidRPr="00C265D5">
        <w:t xml:space="preserve"> volatil</w:t>
      </w:r>
      <w:r w:rsidR="00C06451" w:rsidRPr="00C265D5">
        <w:t xml:space="preserve">e </w:t>
      </w:r>
      <w:r w:rsidR="00D23A32" w:rsidRPr="00C265D5">
        <w:t xml:space="preserve">macroeconomic </w:t>
      </w:r>
      <w:r w:rsidR="00FD6570" w:rsidRPr="00C265D5">
        <w:t>environment</w:t>
      </w:r>
      <w:r w:rsidR="00530459" w:rsidRPr="00C265D5">
        <w:t>.</w:t>
      </w:r>
      <w:r w:rsidR="00741DF8" w:rsidRPr="00C265D5">
        <w:t xml:space="preserve"> </w:t>
      </w:r>
      <w:r w:rsidR="006426E5" w:rsidRPr="00C265D5">
        <w:t>R</w:t>
      </w:r>
      <w:r w:rsidR="00084177" w:rsidRPr="00C265D5" w:rsidDel="00D45065">
        <w:t xml:space="preserve">aw material costs increased in line with global </w:t>
      </w:r>
      <w:r w:rsidR="00FF617B" w:rsidRPr="00C265D5">
        <w:t>price surges,</w:t>
      </w:r>
      <w:r w:rsidR="00084177" w:rsidRPr="00C265D5" w:rsidDel="00D45065">
        <w:t xml:space="preserve"> compounded upon by increasing freight rates due to rising oil prices</w:t>
      </w:r>
      <w:r w:rsidR="005F1C5A" w:rsidRPr="00C265D5">
        <w:t>,</w:t>
      </w:r>
      <w:r w:rsidR="002C1421" w:rsidRPr="00C265D5">
        <w:t xml:space="preserve"> and </w:t>
      </w:r>
      <w:r w:rsidR="005F1C5A" w:rsidRPr="00C265D5">
        <w:t xml:space="preserve">interest for </w:t>
      </w:r>
      <w:r w:rsidR="002C1421" w:rsidRPr="00C265D5">
        <w:t>longer credit period</w:t>
      </w:r>
      <w:r w:rsidR="00FE324B" w:rsidRPr="00C265D5">
        <w:t>s</w:t>
      </w:r>
      <w:r w:rsidR="002C1421" w:rsidRPr="00C265D5">
        <w:t xml:space="preserve"> of 180 days</w:t>
      </w:r>
      <w:r w:rsidR="00DC74CA" w:rsidRPr="00C265D5">
        <w:t xml:space="preserve">. </w:t>
      </w:r>
      <w:r w:rsidR="005F1C5A" w:rsidRPr="00C265D5">
        <w:t>In addition, c</w:t>
      </w:r>
      <w:r w:rsidR="00C60EC0" w:rsidRPr="00C265D5">
        <w:t>onstraints in establishing Letters of Credit (LCs) gave rise to</w:t>
      </w:r>
      <w:r w:rsidR="00294F66" w:rsidRPr="00C265D5">
        <w:t xml:space="preserve"> material </w:t>
      </w:r>
      <w:r w:rsidR="00C60EC0" w:rsidRPr="00C265D5" w:rsidDel="00D45065">
        <w:t>shortages</w:t>
      </w:r>
      <w:r w:rsidR="00084177" w:rsidRPr="00C265D5" w:rsidDel="00D45065">
        <w:t xml:space="preserve">. </w:t>
      </w:r>
      <w:r w:rsidR="001B1DA9" w:rsidRPr="00C265D5">
        <w:t>The</w:t>
      </w:r>
      <w:r w:rsidR="00B8702A" w:rsidRPr="00C265D5">
        <w:t xml:space="preserve"> </w:t>
      </w:r>
      <w:r w:rsidR="006426E5" w:rsidRPr="00C265D5">
        <w:t xml:space="preserve">price of </w:t>
      </w:r>
      <w:r w:rsidR="00B8702A" w:rsidRPr="00C265D5">
        <w:t>50kg</w:t>
      </w:r>
      <w:r w:rsidR="001B1DA9" w:rsidRPr="00C265D5">
        <w:t xml:space="preserve"> </w:t>
      </w:r>
      <w:r w:rsidR="006426E5" w:rsidRPr="00C265D5">
        <w:t xml:space="preserve">bag of </w:t>
      </w:r>
      <w:r w:rsidR="001B1DA9" w:rsidRPr="00C265D5">
        <w:t>cement</w:t>
      </w:r>
      <w:r w:rsidR="006426E5" w:rsidRPr="00C265D5">
        <w:t xml:space="preserve"> was</w:t>
      </w:r>
      <w:r w:rsidR="001B6367" w:rsidRPr="00C265D5">
        <w:t xml:space="preserve"> adjusted </w:t>
      </w:r>
      <w:r w:rsidR="00D45065" w:rsidRPr="00C265D5">
        <w:t>to reflect the</w:t>
      </w:r>
      <w:r w:rsidR="006426E5" w:rsidRPr="00C265D5">
        <w:t>se cost</w:t>
      </w:r>
      <w:r w:rsidR="001B6367" w:rsidRPr="00C265D5">
        <w:t xml:space="preserve"> increases </w:t>
      </w:r>
      <w:r w:rsidR="003451FC" w:rsidRPr="00C265D5">
        <w:t>accordingly,</w:t>
      </w:r>
    </w:p>
    <w:p w14:paraId="64420FE4" w14:textId="180A9B6C" w:rsidR="0068567C" w:rsidRPr="00C265D5" w:rsidRDefault="0068567C" w:rsidP="0068567C">
      <w:pPr>
        <w:pStyle w:val="ListParagraph"/>
        <w:numPr>
          <w:ilvl w:val="0"/>
          <w:numId w:val="11"/>
        </w:numPr>
        <w:spacing w:after="0"/>
        <w:ind w:left="540"/>
        <w:jc w:val="left"/>
      </w:pPr>
      <w:r w:rsidRPr="00C265D5">
        <w:t>January 1</w:t>
      </w:r>
      <w:r w:rsidRPr="00C265D5">
        <w:rPr>
          <w:vertAlign w:val="superscript"/>
        </w:rPr>
        <w:t>st</w:t>
      </w:r>
      <w:r w:rsidRPr="00C265D5">
        <w:t xml:space="preserve"> </w:t>
      </w:r>
      <w:r w:rsidR="006426E5" w:rsidRPr="00C265D5">
        <w:t xml:space="preserve">– Cement prices </w:t>
      </w:r>
      <w:r w:rsidRPr="00C265D5">
        <w:t>increased from Rs. 1,275/- to Rs. 1,375/-, due to the increase in raw material</w:t>
      </w:r>
      <w:r w:rsidR="000B2B53" w:rsidRPr="00C265D5">
        <w:t xml:space="preserve"> costs</w:t>
      </w:r>
      <w:r w:rsidRPr="00C265D5">
        <w:t xml:space="preserve"> and freight </w:t>
      </w:r>
      <w:r w:rsidR="003451FC" w:rsidRPr="00C265D5">
        <w:t>charges</w:t>
      </w:r>
      <w:r w:rsidRPr="00C265D5">
        <w:t>.</w:t>
      </w:r>
    </w:p>
    <w:p w14:paraId="55687904" w14:textId="49A5F723" w:rsidR="0068567C" w:rsidRPr="00C265D5" w:rsidRDefault="0068567C" w:rsidP="0068567C">
      <w:pPr>
        <w:pStyle w:val="ListParagraph"/>
        <w:numPr>
          <w:ilvl w:val="0"/>
          <w:numId w:val="11"/>
        </w:numPr>
        <w:spacing w:after="0"/>
        <w:ind w:left="540"/>
        <w:jc w:val="left"/>
      </w:pPr>
      <w:r w:rsidRPr="00C265D5">
        <w:t>March 8</w:t>
      </w:r>
      <w:r w:rsidRPr="00C265D5">
        <w:rPr>
          <w:vertAlign w:val="superscript"/>
        </w:rPr>
        <w:t>th</w:t>
      </w:r>
      <w:r w:rsidR="006426E5" w:rsidRPr="00C265D5">
        <w:t xml:space="preserve"> </w:t>
      </w:r>
      <w:r w:rsidR="00FE324B" w:rsidRPr="00C265D5">
        <w:t>–</w:t>
      </w:r>
      <w:r w:rsidR="006426E5" w:rsidRPr="00C265D5">
        <w:t xml:space="preserve"> T</w:t>
      </w:r>
      <w:r w:rsidRPr="00C265D5">
        <w:t>he Central Bank of Sri Lanka (CBSL) floated the currency (previously pegged to Rs. 203/- to the US</w:t>
      </w:r>
      <w:r w:rsidR="00D06C58" w:rsidRPr="00C265D5">
        <w:t>D</w:t>
      </w:r>
      <w:r w:rsidRPr="00C265D5">
        <w:t>) causing the Rupee to depreciate to Rs. 2</w:t>
      </w:r>
      <w:r w:rsidR="00D45065" w:rsidRPr="00C265D5">
        <w:t>30/-</w:t>
      </w:r>
      <w:r w:rsidRPr="00C265D5">
        <w:t xml:space="preserve"> to the USD, the same day.</w:t>
      </w:r>
    </w:p>
    <w:p w14:paraId="23F76A78" w14:textId="46EE3DBA" w:rsidR="0068567C" w:rsidRPr="00C265D5" w:rsidRDefault="0068567C" w:rsidP="0068567C">
      <w:pPr>
        <w:pStyle w:val="ListParagraph"/>
        <w:numPr>
          <w:ilvl w:val="0"/>
          <w:numId w:val="11"/>
        </w:numPr>
        <w:spacing w:after="0"/>
        <w:ind w:left="540"/>
        <w:jc w:val="left"/>
      </w:pPr>
      <w:r w:rsidRPr="00C265D5">
        <w:t>March 12</w:t>
      </w:r>
      <w:r w:rsidRPr="00C265D5">
        <w:rPr>
          <w:vertAlign w:val="superscript"/>
        </w:rPr>
        <w:t>th</w:t>
      </w:r>
      <w:r w:rsidR="006426E5" w:rsidRPr="00C265D5">
        <w:t xml:space="preserve"> </w:t>
      </w:r>
      <w:r w:rsidR="00FE324B" w:rsidRPr="00C265D5">
        <w:t>–</w:t>
      </w:r>
      <w:r w:rsidR="006426E5" w:rsidRPr="00C265D5">
        <w:t xml:space="preserve"> O</w:t>
      </w:r>
      <w:r w:rsidRPr="00C265D5">
        <w:t>fficial exchange rate depreciated to Rs. 2</w:t>
      </w:r>
      <w:r w:rsidR="00D45065" w:rsidRPr="00C265D5">
        <w:t>60/-</w:t>
      </w:r>
      <w:r w:rsidRPr="00C265D5">
        <w:t xml:space="preserve"> to the USD and the cement industry increased prices of a 50kg bag of cement to Rs. 1,850/-.</w:t>
      </w:r>
    </w:p>
    <w:p w14:paraId="65BC332A" w14:textId="74CC310A" w:rsidR="0068567C" w:rsidRPr="00C265D5" w:rsidRDefault="0068567C" w:rsidP="0068567C">
      <w:pPr>
        <w:pStyle w:val="ListParagraph"/>
        <w:numPr>
          <w:ilvl w:val="0"/>
          <w:numId w:val="11"/>
        </w:numPr>
        <w:spacing w:after="0"/>
        <w:ind w:left="540"/>
        <w:jc w:val="left"/>
      </w:pPr>
      <w:r w:rsidRPr="00C265D5">
        <w:t>April 1</w:t>
      </w:r>
      <w:r w:rsidRPr="00C265D5">
        <w:rPr>
          <w:vertAlign w:val="superscript"/>
        </w:rPr>
        <w:t>st</w:t>
      </w:r>
      <w:r w:rsidR="006426E5" w:rsidRPr="00C265D5">
        <w:t xml:space="preserve"> </w:t>
      </w:r>
      <w:r w:rsidR="00FE324B" w:rsidRPr="00C265D5">
        <w:t xml:space="preserve">– </w:t>
      </w:r>
      <w:r w:rsidR="006426E5" w:rsidRPr="00C265D5">
        <w:t>O</w:t>
      </w:r>
      <w:r w:rsidRPr="00C265D5">
        <w:t>fficial exchange rate rose to Rs. 29</w:t>
      </w:r>
      <w:r w:rsidR="00D45065" w:rsidRPr="00C265D5">
        <w:t>9/-</w:t>
      </w:r>
      <w:r w:rsidRPr="00C265D5">
        <w:t xml:space="preserve"> to the USD, resulting in the increase of a 50kg bag of cement to Rs. 2,350/-.</w:t>
      </w:r>
    </w:p>
    <w:p w14:paraId="21C7FD16" w14:textId="156BD9B9" w:rsidR="00D06C58" w:rsidRPr="00C265D5" w:rsidRDefault="0068567C" w:rsidP="00604120">
      <w:pPr>
        <w:pStyle w:val="ListParagraph"/>
        <w:numPr>
          <w:ilvl w:val="0"/>
          <w:numId w:val="11"/>
        </w:numPr>
        <w:spacing w:after="120"/>
        <w:ind w:left="547"/>
        <w:jc w:val="left"/>
      </w:pPr>
      <w:r w:rsidRPr="00C265D5">
        <w:t>As of this article the cement price stands at Rs. 2,850/- in accordance with the average exchange rate of Rs. 350</w:t>
      </w:r>
      <w:r w:rsidR="00D45065" w:rsidRPr="00C265D5">
        <w:t>/-</w:t>
      </w:r>
      <w:r w:rsidRPr="00C265D5">
        <w:t xml:space="preserve"> to the USD</w:t>
      </w:r>
      <w:r w:rsidR="006426E5" w:rsidRPr="00C265D5">
        <w:t>.</w:t>
      </w:r>
    </w:p>
    <w:p w14:paraId="226BFDFC" w14:textId="77777777" w:rsidR="00CA583B" w:rsidRPr="00C265D5" w:rsidRDefault="00CA583B" w:rsidP="00604120">
      <w:pPr>
        <w:pStyle w:val="ListParagraph"/>
        <w:spacing w:after="120"/>
        <w:ind w:left="547"/>
        <w:jc w:val="left"/>
      </w:pPr>
    </w:p>
    <w:p w14:paraId="343BA716" w14:textId="34D5131A" w:rsidR="00414934" w:rsidRPr="00C265D5" w:rsidRDefault="00414934" w:rsidP="005E4D7F">
      <w:pPr>
        <w:pStyle w:val="ListParagraph"/>
        <w:spacing w:after="200"/>
        <w:ind w:left="0"/>
      </w:pPr>
      <w:r w:rsidRPr="00C265D5">
        <w:rPr>
          <w:b/>
          <w:bCs/>
          <w:i/>
          <w:iCs/>
        </w:rPr>
        <w:t>An important factor to note is that the cement industry imports its raw materials on 180-day Letters of Credit (LC) as per CBSL requirement. Therefore, the material that was received in October 2021, manufactured, and sold at an exchange rate of Rs. 203</w:t>
      </w:r>
      <w:r w:rsidR="00D45065" w:rsidRPr="00C265D5">
        <w:rPr>
          <w:b/>
          <w:bCs/>
          <w:i/>
          <w:iCs/>
        </w:rPr>
        <w:t>/-</w:t>
      </w:r>
      <w:r w:rsidRPr="00C265D5">
        <w:rPr>
          <w:b/>
          <w:bCs/>
          <w:i/>
          <w:iCs/>
        </w:rPr>
        <w:t xml:space="preserve"> incurs a significant exchange loss when settled in April 2022 at the current rate of Rs. 365</w:t>
      </w:r>
      <w:r w:rsidR="00D45065" w:rsidRPr="00C265D5">
        <w:rPr>
          <w:b/>
          <w:bCs/>
          <w:i/>
          <w:iCs/>
        </w:rPr>
        <w:t>/-</w:t>
      </w:r>
      <w:r w:rsidRPr="00C265D5">
        <w:rPr>
          <w:b/>
          <w:bCs/>
          <w:i/>
          <w:iCs/>
        </w:rPr>
        <w:t xml:space="preserve"> to the USD.</w:t>
      </w:r>
    </w:p>
    <w:p w14:paraId="2CBBA551" w14:textId="26EBE7E2" w:rsidR="00EC0CF2" w:rsidRPr="00C265D5" w:rsidRDefault="00414934" w:rsidP="005E4D7F">
      <w:pPr>
        <w:spacing w:after="100"/>
      </w:pPr>
      <w:r w:rsidRPr="00C265D5">
        <w:lastRenderedPageBreak/>
        <w:t xml:space="preserve">This took place in the backdrop of greater percentage increase in prices </w:t>
      </w:r>
      <w:r w:rsidR="00CA583B" w:rsidRPr="00C265D5">
        <w:t>across</w:t>
      </w:r>
      <w:r w:rsidRPr="00C265D5">
        <w:t xml:space="preserve"> all other construction material, including but not limited to steel, electrical cables, and even locally sourced sand</w:t>
      </w:r>
      <w:r w:rsidR="00EB61AB" w:rsidRPr="00C265D5">
        <w:t xml:space="preserve"> </w:t>
      </w:r>
      <w:r w:rsidR="00A0458E" w:rsidRPr="00C265D5">
        <w:t>that has no direct forex impact</w:t>
      </w:r>
      <w:r w:rsidRPr="00C265D5">
        <w:t>.</w:t>
      </w:r>
    </w:p>
    <w:tbl>
      <w:tblPr>
        <w:tblStyle w:val="TableGrid"/>
        <w:tblW w:w="0" w:type="auto"/>
        <w:jc w:val="center"/>
        <w:tblLook w:val="04A0" w:firstRow="1" w:lastRow="0" w:firstColumn="1" w:lastColumn="0" w:noHBand="0" w:noVBand="1"/>
      </w:tblPr>
      <w:tblGrid>
        <w:gridCol w:w="3024"/>
        <w:gridCol w:w="1584"/>
        <w:gridCol w:w="1584"/>
        <w:gridCol w:w="1152"/>
      </w:tblGrid>
      <w:tr w:rsidR="00C265D5" w:rsidRPr="00C265D5" w14:paraId="1722729B" w14:textId="77777777" w:rsidTr="007A06F1">
        <w:trPr>
          <w:jc w:val="center"/>
        </w:trPr>
        <w:tc>
          <w:tcPr>
            <w:tcW w:w="3024" w:type="dxa"/>
          </w:tcPr>
          <w:p w14:paraId="3698A5D7" w14:textId="07427CA2" w:rsidR="004247FC" w:rsidRPr="00C265D5" w:rsidRDefault="004247FC" w:rsidP="003F0668">
            <w:pPr>
              <w:jc w:val="center"/>
            </w:pPr>
            <w:bookmarkStart w:id="0" w:name="_Hlk104830046"/>
            <w:r w:rsidRPr="00C265D5">
              <w:t>Item</w:t>
            </w:r>
          </w:p>
          <w:p w14:paraId="0C4D6014" w14:textId="2525D0E6" w:rsidR="00F96667" w:rsidRPr="00C265D5" w:rsidRDefault="00F96667" w:rsidP="003F0668">
            <w:pPr>
              <w:jc w:val="center"/>
            </w:pPr>
          </w:p>
        </w:tc>
        <w:tc>
          <w:tcPr>
            <w:tcW w:w="1584" w:type="dxa"/>
          </w:tcPr>
          <w:p w14:paraId="5438F544" w14:textId="77777777" w:rsidR="004247FC" w:rsidRPr="00C265D5" w:rsidRDefault="00F96667" w:rsidP="003F0668">
            <w:pPr>
              <w:jc w:val="center"/>
            </w:pPr>
            <w:r w:rsidRPr="00C265D5">
              <w:t>Jan</w:t>
            </w:r>
            <w:r w:rsidR="002F718E" w:rsidRPr="00C265D5">
              <w:t>uary</w:t>
            </w:r>
            <w:r w:rsidR="004247FC" w:rsidRPr="00C265D5">
              <w:t xml:space="preserve"> 2022</w:t>
            </w:r>
          </w:p>
          <w:p w14:paraId="0F6B8A5A" w14:textId="464BDD7A" w:rsidR="00F96667" w:rsidRPr="00C265D5" w:rsidRDefault="004247FC" w:rsidP="003F0668">
            <w:pPr>
              <w:jc w:val="center"/>
            </w:pPr>
            <w:r w:rsidRPr="00C265D5">
              <w:t>(Price in LKR)</w:t>
            </w:r>
          </w:p>
        </w:tc>
        <w:tc>
          <w:tcPr>
            <w:tcW w:w="1584" w:type="dxa"/>
          </w:tcPr>
          <w:p w14:paraId="260A3AAF" w14:textId="77777777" w:rsidR="00F96667" w:rsidRPr="00C265D5" w:rsidRDefault="00F96667" w:rsidP="003F0668">
            <w:pPr>
              <w:jc w:val="center"/>
            </w:pPr>
            <w:r w:rsidRPr="00C265D5">
              <w:t>April</w:t>
            </w:r>
            <w:r w:rsidR="004247FC" w:rsidRPr="00C265D5">
              <w:t xml:space="preserve"> 2022</w:t>
            </w:r>
          </w:p>
          <w:p w14:paraId="2BA7632E" w14:textId="29CF5C0D" w:rsidR="004247FC" w:rsidRPr="00C265D5" w:rsidRDefault="004247FC" w:rsidP="003F0668">
            <w:pPr>
              <w:jc w:val="center"/>
            </w:pPr>
            <w:r w:rsidRPr="00C265D5">
              <w:t>(Price in LKR)</w:t>
            </w:r>
          </w:p>
        </w:tc>
        <w:tc>
          <w:tcPr>
            <w:tcW w:w="1152" w:type="dxa"/>
          </w:tcPr>
          <w:p w14:paraId="4F94B64C" w14:textId="241D614D" w:rsidR="00F96667" w:rsidRPr="00C265D5" w:rsidRDefault="00195EDD" w:rsidP="003F0668">
            <w:pPr>
              <w:jc w:val="center"/>
            </w:pPr>
            <w:r w:rsidRPr="00C265D5">
              <w:t>% Increase</w:t>
            </w:r>
          </w:p>
        </w:tc>
      </w:tr>
      <w:tr w:rsidR="00C265D5" w:rsidRPr="00C265D5" w14:paraId="1BE5DEC8" w14:textId="5C585401" w:rsidTr="007A06F1">
        <w:trPr>
          <w:jc w:val="center"/>
        </w:trPr>
        <w:tc>
          <w:tcPr>
            <w:tcW w:w="3024" w:type="dxa"/>
          </w:tcPr>
          <w:p w14:paraId="6949FAC1" w14:textId="01138396" w:rsidR="00F96667" w:rsidRPr="00C265D5" w:rsidRDefault="00F96667" w:rsidP="003F0668">
            <w:pPr>
              <w:jc w:val="left"/>
            </w:pPr>
            <w:r w:rsidRPr="00C265D5">
              <w:t>Steel (MT)</w:t>
            </w:r>
          </w:p>
        </w:tc>
        <w:tc>
          <w:tcPr>
            <w:tcW w:w="1584" w:type="dxa"/>
          </w:tcPr>
          <w:p w14:paraId="5625B3D3" w14:textId="5F17B22F" w:rsidR="00F96667" w:rsidRPr="00C265D5" w:rsidRDefault="00F96667" w:rsidP="003F0668">
            <w:pPr>
              <w:ind w:right="161"/>
              <w:jc w:val="right"/>
            </w:pPr>
            <w:r w:rsidRPr="00C265D5">
              <w:t>239,000</w:t>
            </w:r>
            <w:r w:rsidR="00C10F28" w:rsidRPr="00C265D5">
              <w:t>/-</w:t>
            </w:r>
          </w:p>
        </w:tc>
        <w:tc>
          <w:tcPr>
            <w:tcW w:w="1584" w:type="dxa"/>
          </w:tcPr>
          <w:p w14:paraId="7F708D33" w14:textId="5157A441" w:rsidR="00F96667" w:rsidRPr="00C265D5" w:rsidRDefault="00F96667" w:rsidP="003F0668">
            <w:pPr>
              <w:ind w:right="161"/>
              <w:jc w:val="right"/>
            </w:pPr>
            <w:r w:rsidRPr="00C265D5">
              <w:t>589,000</w:t>
            </w:r>
            <w:r w:rsidR="00C10F28" w:rsidRPr="00C265D5">
              <w:t>/-</w:t>
            </w:r>
          </w:p>
        </w:tc>
        <w:tc>
          <w:tcPr>
            <w:tcW w:w="1152" w:type="dxa"/>
          </w:tcPr>
          <w:p w14:paraId="439B99C8" w14:textId="5EEE2595" w:rsidR="00F96667" w:rsidRPr="00C265D5" w:rsidRDefault="00F96667" w:rsidP="003F0668">
            <w:pPr>
              <w:jc w:val="center"/>
            </w:pPr>
            <w:r w:rsidRPr="00C265D5">
              <w:t>146%</w:t>
            </w:r>
          </w:p>
        </w:tc>
      </w:tr>
      <w:tr w:rsidR="00C265D5" w:rsidRPr="00C265D5" w14:paraId="602CA8BC" w14:textId="43676B51" w:rsidTr="007A06F1">
        <w:trPr>
          <w:jc w:val="center"/>
        </w:trPr>
        <w:tc>
          <w:tcPr>
            <w:tcW w:w="3024" w:type="dxa"/>
          </w:tcPr>
          <w:p w14:paraId="5CA05EDE" w14:textId="162A8A09" w:rsidR="00F96667" w:rsidRPr="00C265D5" w:rsidRDefault="00F96667" w:rsidP="003F0668">
            <w:pPr>
              <w:jc w:val="left"/>
            </w:pPr>
            <w:r w:rsidRPr="00C265D5">
              <w:t>Electric wires (1.044”</w:t>
            </w:r>
            <w:r w:rsidR="00BA17AF" w:rsidRPr="00C265D5">
              <w:t>/</w:t>
            </w:r>
            <w:r w:rsidRPr="00C265D5">
              <w:t>100m</w:t>
            </w:r>
            <w:r w:rsidR="00BA17AF" w:rsidRPr="00C265D5">
              <w:t>)</w:t>
            </w:r>
          </w:p>
        </w:tc>
        <w:tc>
          <w:tcPr>
            <w:tcW w:w="1584" w:type="dxa"/>
          </w:tcPr>
          <w:p w14:paraId="0F645E0B" w14:textId="52CDC0A7" w:rsidR="00F96667" w:rsidRPr="00C265D5" w:rsidRDefault="00F96667" w:rsidP="003F0668">
            <w:pPr>
              <w:ind w:right="161"/>
              <w:jc w:val="right"/>
            </w:pPr>
            <w:r w:rsidRPr="00C265D5">
              <w:t>2,520/-</w:t>
            </w:r>
          </w:p>
        </w:tc>
        <w:tc>
          <w:tcPr>
            <w:tcW w:w="1584" w:type="dxa"/>
          </w:tcPr>
          <w:p w14:paraId="187874FC" w14:textId="3AD6C188" w:rsidR="00F96667" w:rsidRPr="00C265D5" w:rsidRDefault="00F96667" w:rsidP="003F0668">
            <w:pPr>
              <w:ind w:right="161"/>
              <w:jc w:val="right"/>
            </w:pPr>
            <w:r w:rsidRPr="00C265D5">
              <w:t>7,390/-</w:t>
            </w:r>
          </w:p>
        </w:tc>
        <w:tc>
          <w:tcPr>
            <w:tcW w:w="1152" w:type="dxa"/>
          </w:tcPr>
          <w:p w14:paraId="718CDE36" w14:textId="674623B1" w:rsidR="00F96667" w:rsidRPr="00C265D5" w:rsidRDefault="00F96667" w:rsidP="003F0668">
            <w:pPr>
              <w:jc w:val="center"/>
            </w:pPr>
            <w:r w:rsidRPr="00C265D5">
              <w:t>193%</w:t>
            </w:r>
          </w:p>
        </w:tc>
      </w:tr>
      <w:tr w:rsidR="00C265D5" w:rsidRPr="00C265D5" w14:paraId="47D83D1F" w14:textId="4435AB03" w:rsidTr="007A06F1">
        <w:trPr>
          <w:jc w:val="center"/>
        </w:trPr>
        <w:tc>
          <w:tcPr>
            <w:tcW w:w="3024" w:type="dxa"/>
          </w:tcPr>
          <w:p w14:paraId="2C520F30" w14:textId="6CAB2A89" w:rsidR="00F96667" w:rsidRPr="00C265D5" w:rsidRDefault="00F96667" w:rsidP="003F0668">
            <w:pPr>
              <w:jc w:val="left"/>
            </w:pPr>
            <w:r w:rsidRPr="00C265D5">
              <w:t xml:space="preserve">Sand </w:t>
            </w:r>
            <w:r w:rsidR="001B1DA9" w:rsidRPr="00C265D5">
              <w:t>(</w:t>
            </w:r>
            <w:r w:rsidR="00EF4282" w:rsidRPr="00C265D5">
              <w:t>cube</w:t>
            </w:r>
            <w:r w:rsidR="001B1DA9" w:rsidRPr="00C265D5">
              <w:t>)</w:t>
            </w:r>
          </w:p>
        </w:tc>
        <w:tc>
          <w:tcPr>
            <w:tcW w:w="1584" w:type="dxa"/>
          </w:tcPr>
          <w:p w14:paraId="631D6493" w14:textId="257A83C9" w:rsidR="00F96667" w:rsidRPr="00C265D5" w:rsidRDefault="00F96667" w:rsidP="003F0668">
            <w:pPr>
              <w:ind w:right="161"/>
              <w:jc w:val="right"/>
            </w:pPr>
            <w:r w:rsidRPr="00C265D5">
              <w:t>13,500</w:t>
            </w:r>
            <w:r w:rsidR="00C10F28" w:rsidRPr="00C265D5">
              <w:t>/-</w:t>
            </w:r>
          </w:p>
        </w:tc>
        <w:tc>
          <w:tcPr>
            <w:tcW w:w="1584" w:type="dxa"/>
          </w:tcPr>
          <w:p w14:paraId="79A847D2" w14:textId="34B6C5DA" w:rsidR="00F96667" w:rsidRPr="00C265D5" w:rsidRDefault="00F96667" w:rsidP="003F0668">
            <w:pPr>
              <w:ind w:right="161"/>
              <w:jc w:val="right"/>
            </w:pPr>
            <w:r w:rsidRPr="00C265D5">
              <w:t>2</w:t>
            </w:r>
            <w:r w:rsidR="00BA6764" w:rsidRPr="00C265D5">
              <w:t>3</w:t>
            </w:r>
            <w:r w:rsidRPr="00C265D5">
              <w:t>,</w:t>
            </w:r>
            <w:r w:rsidR="00BA6764" w:rsidRPr="00C265D5">
              <w:t>5</w:t>
            </w:r>
            <w:r w:rsidRPr="00C265D5">
              <w:t>00</w:t>
            </w:r>
            <w:r w:rsidR="00C10F28" w:rsidRPr="00C265D5">
              <w:t>/-</w:t>
            </w:r>
          </w:p>
        </w:tc>
        <w:tc>
          <w:tcPr>
            <w:tcW w:w="1152" w:type="dxa"/>
          </w:tcPr>
          <w:p w14:paraId="59EE736C" w14:textId="1A0222FE" w:rsidR="00F96667" w:rsidRPr="00C265D5" w:rsidRDefault="00BA6764" w:rsidP="003F0668">
            <w:pPr>
              <w:jc w:val="center"/>
            </w:pPr>
            <w:r w:rsidRPr="00C265D5">
              <w:t>74</w:t>
            </w:r>
            <w:r w:rsidR="00C10F28" w:rsidRPr="00C265D5">
              <w:t>%</w:t>
            </w:r>
          </w:p>
        </w:tc>
      </w:tr>
    </w:tbl>
    <w:bookmarkEnd w:id="0"/>
    <w:p w14:paraId="3B7C4394" w14:textId="0930BD7B" w:rsidR="005C0BAF" w:rsidRPr="00C265D5" w:rsidRDefault="005C0BAF" w:rsidP="005C0BAF">
      <w:pPr>
        <w:pStyle w:val="Heading2"/>
        <w:rPr>
          <w:sz w:val="24"/>
          <w:szCs w:val="24"/>
        </w:rPr>
      </w:pPr>
      <w:r w:rsidRPr="00C265D5">
        <w:rPr>
          <w:sz w:val="24"/>
          <w:szCs w:val="24"/>
        </w:rPr>
        <w:t xml:space="preserve">The </w:t>
      </w:r>
      <w:r w:rsidR="00FD61D5" w:rsidRPr="00C265D5">
        <w:rPr>
          <w:sz w:val="24"/>
          <w:szCs w:val="24"/>
        </w:rPr>
        <w:t>Macro</w:t>
      </w:r>
      <w:r w:rsidR="00421A4E" w:rsidRPr="00C265D5">
        <w:rPr>
          <w:sz w:val="24"/>
          <w:szCs w:val="24"/>
        </w:rPr>
        <w:t>e</w:t>
      </w:r>
      <w:r w:rsidR="00FD61D5" w:rsidRPr="00C265D5">
        <w:rPr>
          <w:sz w:val="24"/>
          <w:szCs w:val="24"/>
        </w:rPr>
        <w:t xml:space="preserve">conomic </w:t>
      </w:r>
      <w:r w:rsidRPr="00C265D5">
        <w:rPr>
          <w:sz w:val="24"/>
          <w:szCs w:val="24"/>
        </w:rPr>
        <w:t>Environment</w:t>
      </w:r>
    </w:p>
    <w:p w14:paraId="36980820" w14:textId="498B426B" w:rsidR="00530459" w:rsidRPr="00C265D5" w:rsidRDefault="00FD61D5" w:rsidP="003F0668">
      <w:pPr>
        <w:spacing w:after="80"/>
      </w:pPr>
      <w:r w:rsidRPr="00C265D5">
        <w:t>During th</w:t>
      </w:r>
      <w:r w:rsidR="00023E00" w:rsidRPr="00C265D5">
        <w:t>is</w:t>
      </w:r>
      <w:r w:rsidRPr="00C265D5">
        <w:t xml:space="preserve"> period the country started to feel the impact of diminishing forex reserves and the inability of importer</w:t>
      </w:r>
      <w:r w:rsidR="00E5453F" w:rsidRPr="00C265D5">
        <w:t>s</w:t>
      </w:r>
      <w:r w:rsidRPr="00C265D5">
        <w:t xml:space="preserve"> to </w:t>
      </w:r>
      <w:r w:rsidR="0005022F" w:rsidRPr="00C265D5">
        <w:t>establish</w:t>
      </w:r>
      <w:r w:rsidRPr="00C265D5">
        <w:t xml:space="preserve"> LCs in the </w:t>
      </w:r>
      <w:r w:rsidR="007446C3" w:rsidRPr="00C265D5">
        <w:t>preceding</w:t>
      </w:r>
      <w:r w:rsidRPr="00C265D5">
        <w:t xml:space="preserve"> months</w:t>
      </w:r>
      <w:r w:rsidR="00023E00" w:rsidRPr="00C265D5">
        <w:t>, with s</w:t>
      </w:r>
      <w:r w:rsidRPr="00C265D5">
        <w:t xml:space="preserve">hortages </w:t>
      </w:r>
      <w:r w:rsidR="00023E00" w:rsidRPr="00C265D5">
        <w:t>occurring in</w:t>
      </w:r>
      <w:r w:rsidRPr="00C265D5">
        <w:t xml:space="preserve"> </w:t>
      </w:r>
      <w:r w:rsidR="005D67AF" w:rsidRPr="00C265D5">
        <w:t xml:space="preserve">all </w:t>
      </w:r>
      <w:r w:rsidRPr="00C265D5">
        <w:t>sectors</w:t>
      </w:r>
      <w:r w:rsidR="00023E00" w:rsidRPr="00C265D5">
        <w:t>.</w:t>
      </w:r>
      <w:r w:rsidR="00C60EC0" w:rsidRPr="00C265D5">
        <w:t xml:space="preserve"> </w:t>
      </w:r>
      <w:r w:rsidR="00290F17" w:rsidRPr="00C265D5">
        <w:t xml:space="preserve">Due to </w:t>
      </w:r>
      <w:r w:rsidR="000C19D6" w:rsidRPr="00C265D5">
        <w:t xml:space="preserve">continuous </w:t>
      </w:r>
      <w:r w:rsidR="00C63FE8" w:rsidRPr="00C265D5">
        <w:t xml:space="preserve">cost increases </w:t>
      </w:r>
      <w:r w:rsidR="00852857" w:rsidRPr="00C265D5">
        <w:t>and currency depreciation</w:t>
      </w:r>
      <w:r w:rsidR="000C19D6" w:rsidRPr="00C265D5">
        <w:t>,</w:t>
      </w:r>
      <w:r w:rsidR="00852857" w:rsidRPr="00C265D5">
        <w:t xml:space="preserve"> m</w:t>
      </w:r>
      <w:r w:rsidR="00C63FE8" w:rsidRPr="00C265D5">
        <w:t xml:space="preserve">any manufacturers and traders increased the price of goods </w:t>
      </w:r>
      <w:r w:rsidR="006277B9" w:rsidRPr="00C265D5">
        <w:t xml:space="preserve">in frequent intervals </w:t>
      </w:r>
      <w:r w:rsidR="000C19D6" w:rsidRPr="00C265D5">
        <w:t>throughout</w:t>
      </w:r>
      <w:r w:rsidR="00C63FE8" w:rsidRPr="00C265D5">
        <w:t xml:space="preserve"> the quarter.</w:t>
      </w:r>
      <w:r w:rsidR="00852857" w:rsidRPr="00C265D5">
        <w:t xml:space="preserve"> </w:t>
      </w:r>
      <w:r w:rsidR="00F413DD" w:rsidRPr="00C265D5">
        <w:t>Consequently, price increases across all building materials slowed ongoing construction projects and effectively postpon</w:t>
      </w:r>
      <w:r w:rsidR="00E14259" w:rsidRPr="00C265D5">
        <w:t>ed</w:t>
      </w:r>
      <w:r w:rsidR="00F413DD" w:rsidRPr="00C265D5">
        <w:t xml:space="preserve"> commencement of new projects until price stability is established in the market. </w:t>
      </w:r>
      <w:r w:rsidR="00E14259" w:rsidRPr="00C265D5">
        <w:t>The c</w:t>
      </w:r>
      <w:r w:rsidR="00290F17" w:rsidRPr="00C265D5">
        <w:t xml:space="preserve">onstruction industry faced downsizing </w:t>
      </w:r>
      <w:r w:rsidR="00F413DD" w:rsidRPr="00C265D5">
        <w:t xml:space="preserve">challenges due to </w:t>
      </w:r>
      <w:r w:rsidR="00EA2FF8" w:rsidRPr="00C265D5">
        <w:t xml:space="preserve">material </w:t>
      </w:r>
      <w:r w:rsidR="00F413DD" w:rsidRPr="00C265D5">
        <w:t>shortages</w:t>
      </w:r>
      <w:r w:rsidR="004F4090" w:rsidRPr="00C265D5">
        <w:t>,</w:t>
      </w:r>
      <w:r w:rsidR="00290F17" w:rsidRPr="00C265D5">
        <w:t xml:space="preserve"> payment delays to government contractors</w:t>
      </w:r>
      <w:r w:rsidR="00CA583B" w:rsidRPr="00C265D5">
        <w:t>,</w:t>
      </w:r>
      <w:r w:rsidR="00482178" w:rsidRPr="00C265D5">
        <w:t xml:space="preserve"> and</w:t>
      </w:r>
      <w:r w:rsidR="00CA583B" w:rsidRPr="00C265D5">
        <w:t xml:space="preserve"> </w:t>
      </w:r>
      <w:r w:rsidR="004738E3" w:rsidRPr="00C265D5">
        <w:t xml:space="preserve">poor </w:t>
      </w:r>
      <w:proofErr w:type="spellStart"/>
      <w:r w:rsidR="00793AB2" w:rsidRPr="00C265D5">
        <w:t>labour</w:t>
      </w:r>
      <w:proofErr w:type="spellEnd"/>
      <w:r w:rsidR="00793AB2" w:rsidRPr="00C265D5">
        <w:t xml:space="preserve"> </w:t>
      </w:r>
      <w:r w:rsidR="00421A4E" w:rsidRPr="00C265D5">
        <w:t>turnouts</w:t>
      </w:r>
      <w:r w:rsidR="00511936" w:rsidRPr="00C265D5">
        <w:t xml:space="preserve"> owing to </w:t>
      </w:r>
      <w:r w:rsidR="00CA583B" w:rsidRPr="00C265D5">
        <w:t xml:space="preserve">the </w:t>
      </w:r>
      <w:r w:rsidR="00511936" w:rsidRPr="00C265D5">
        <w:t xml:space="preserve">nationwide breakdown of </w:t>
      </w:r>
      <w:r w:rsidR="00AC0495" w:rsidRPr="00C265D5">
        <w:t>transportation</w:t>
      </w:r>
      <w:r w:rsidR="00511936" w:rsidRPr="00C265D5">
        <w:t xml:space="preserve"> infrastructure</w:t>
      </w:r>
      <w:r w:rsidR="009B0FDE" w:rsidRPr="00C265D5">
        <w:t>.</w:t>
      </w:r>
    </w:p>
    <w:p w14:paraId="2BF78E52" w14:textId="3C53D393" w:rsidR="00482178" w:rsidRPr="00C265D5" w:rsidRDefault="00FF19F4" w:rsidP="00482178">
      <w:r w:rsidRPr="00C265D5">
        <w:t>Cement importers were unable to run operations in the highly unstable fiscal environment</w:t>
      </w:r>
      <w:r w:rsidR="00AC0495" w:rsidRPr="00C265D5">
        <w:t>,</w:t>
      </w:r>
      <w:r w:rsidRPr="00C265D5">
        <w:t xml:space="preserve"> leading to market shortage</w:t>
      </w:r>
      <w:r w:rsidR="00C60EC0" w:rsidRPr="00C265D5">
        <w:t>s</w:t>
      </w:r>
      <w:r w:rsidRPr="00C265D5">
        <w:t xml:space="preserve"> and increase</w:t>
      </w:r>
      <w:r w:rsidR="00C60EC0" w:rsidRPr="00C265D5">
        <w:t>d</w:t>
      </w:r>
      <w:r w:rsidRPr="00C265D5">
        <w:t xml:space="preserve"> demand for cement. In this backdrop, the burden to ensure </w:t>
      </w:r>
      <w:r w:rsidR="00263C6B" w:rsidRPr="00C265D5">
        <w:t xml:space="preserve">market stability </w:t>
      </w:r>
      <w:r w:rsidRPr="00C265D5">
        <w:t xml:space="preserve">fell on local </w:t>
      </w:r>
      <w:r w:rsidR="00263C6B" w:rsidRPr="00C265D5">
        <w:t xml:space="preserve">manufacturers who were also experiencing </w:t>
      </w:r>
      <w:r w:rsidR="00AC0495" w:rsidRPr="00C265D5">
        <w:t>similar</w:t>
      </w:r>
      <w:r w:rsidR="00263C6B" w:rsidRPr="00C265D5">
        <w:t xml:space="preserve"> challenges, in addition to the </w:t>
      </w:r>
      <w:r w:rsidR="00217F56" w:rsidRPr="00C265D5">
        <w:t>greater</w:t>
      </w:r>
      <w:r w:rsidR="003D3418" w:rsidRPr="00C265D5">
        <w:t xml:space="preserve"> </w:t>
      </w:r>
      <w:r w:rsidR="00263C6B" w:rsidRPr="00C265D5">
        <w:t xml:space="preserve">obligation of sustaining </w:t>
      </w:r>
      <w:r w:rsidR="00CC1B3C" w:rsidRPr="00C265D5">
        <w:t>an</w:t>
      </w:r>
      <w:r w:rsidR="00263C6B" w:rsidRPr="00C265D5">
        <w:t xml:space="preserve"> </w:t>
      </w:r>
      <w:r w:rsidR="00303016" w:rsidRPr="00C265D5">
        <w:t>extensive</w:t>
      </w:r>
      <w:r w:rsidR="00263C6B" w:rsidRPr="00C265D5">
        <w:t xml:space="preserve"> value chain comprising of </w:t>
      </w:r>
      <w:r w:rsidR="001E78C7" w:rsidRPr="00C265D5">
        <w:t xml:space="preserve">thousands of </w:t>
      </w:r>
      <w:r w:rsidR="00263C6B" w:rsidRPr="00C265D5">
        <w:t>stakeholders</w:t>
      </w:r>
      <w:r w:rsidR="005104BE" w:rsidRPr="00C265D5">
        <w:t>,</w:t>
      </w:r>
      <w:r w:rsidR="00BE6AAD" w:rsidRPr="00C265D5">
        <w:t xml:space="preserve"> </w:t>
      </w:r>
      <w:r w:rsidR="005104BE" w:rsidRPr="00C265D5">
        <w:t xml:space="preserve">many of </w:t>
      </w:r>
      <w:r w:rsidR="00CC1B3C" w:rsidRPr="00C265D5">
        <w:t>who</w:t>
      </w:r>
      <w:r w:rsidR="005104BE" w:rsidRPr="00C265D5">
        <w:t>m</w:t>
      </w:r>
      <w:r w:rsidR="00CC1B3C" w:rsidRPr="00C265D5">
        <w:t xml:space="preserve"> solely </w:t>
      </w:r>
      <w:r w:rsidR="00BE6AAD" w:rsidRPr="00C265D5">
        <w:t>depende</w:t>
      </w:r>
      <w:r w:rsidR="00CC1B3C" w:rsidRPr="00C265D5">
        <w:t>d</w:t>
      </w:r>
      <w:r w:rsidR="00BE6AAD" w:rsidRPr="00C265D5">
        <w:t xml:space="preserve"> on the industry.</w:t>
      </w:r>
      <w:r w:rsidR="00482178" w:rsidRPr="00C265D5">
        <w:t xml:space="preserve"> However, the raw material shortages caused by the forex crunch exerted continuous pressure on the production process, leading to insufficient supply to meet market demand.</w:t>
      </w:r>
    </w:p>
    <w:p w14:paraId="2CAA110C" w14:textId="1E87927D" w:rsidR="002A07AE" w:rsidRPr="00C265D5" w:rsidRDefault="002A07AE" w:rsidP="00AB14D7">
      <w:pPr>
        <w:pStyle w:val="Heading2"/>
        <w:rPr>
          <w:sz w:val="24"/>
          <w:szCs w:val="24"/>
        </w:rPr>
      </w:pPr>
      <w:r w:rsidRPr="00C265D5">
        <w:rPr>
          <w:sz w:val="24"/>
          <w:szCs w:val="24"/>
        </w:rPr>
        <w:t>Outlook</w:t>
      </w:r>
    </w:p>
    <w:p w14:paraId="67595486" w14:textId="1EE51F2D" w:rsidR="00A07ED3" w:rsidRPr="00C265D5" w:rsidRDefault="0077707F" w:rsidP="005E4D7F">
      <w:pPr>
        <w:spacing w:after="80" w:line="258" w:lineRule="auto"/>
      </w:pPr>
      <w:r w:rsidRPr="00C265D5">
        <w:t>The IMF staff level technical agreement</w:t>
      </w:r>
      <w:r w:rsidR="00A07ED3" w:rsidRPr="00C265D5">
        <w:t>,</w:t>
      </w:r>
      <w:r w:rsidRPr="00C265D5">
        <w:t xml:space="preserve"> to </w:t>
      </w:r>
      <w:r w:rsidR="00BA56AF" w:rsidRPr="00C265D5">
        <w:t xml:space="preserve">be finalized </w:t>
      </w:r>
      <w:r w:rsidR="00CA583B" w:rsidRPr="00C265D5">
        <w:t>in the coming months</w:t>
      </w:r>
      <w:r w:rsidR="00CA6CB5" w:rsidRPr="00C265D5">
        <w:t>,</w:t>
      </w:r>
      <w:r w:rsidRPr="00C265D5">
        <w:t xml:space="preserve"> </w:t>
      </w:r>
      <w:r w:rsidR="00BA56AF" w:rsidRPr="00C265D5">
        <w:t xml:space="preserve">is expected to </w:t>
      </w:r>
      <w:r w:rsidRPr="00C265D5">
        <w:t>alleviat</w:t>
      </w:r>
      <w:r w:rsidR="00BA56AF" w:rsidRPr="00C265D5">
        <w:t>e</w:t>
      </w:r>
      <w:r w:rsidRPr="00C265D5">
        <w:t xml:space="preserve"> some of the pressures </w:t>
      </w:r>
      <w:r w:rsidR="00BA56AF" w:rsidRPr="00C265D5">
        <w:t>on the economy</w:t>
      </w:r>
      <w:r w:rsidR="00CA6CB5" w:rsidRPr="00C265D5">
        <w:t xml:space="preserve"> and open channels for bilateral loans and grants</w:t>
      </w:r>
      <w:r w:rsidR="00BA56AF" w:rsidRPr="00C265D5">
        <w:t xml:space="preserve">. </w:t>
      </w:r>
      <w:r w:rsidR="00A07ED3" w:rsidRPr="00C265D5">
        <w:t xml:space="preserve">However, until such time CBSL envisages further austerity measures to help curb </w:t>
      </w:r>
      <w:r w:rsidR="000D59F7" w:rsidRPr="00C265D5">
        <w:t xml:space="preserve">rapid </w:t>
      </w:r>
      <w:r w:rsidR="00A07ED3" w:rsidRPr="00C265D5">
        <w:t xml:space="preserve">economic downturn. This includes but is not limited to, increased interest rates, </w:t>
      </w:r>
      <w:r w:rsidR="000D59F7" w:rsidRPr="00C265D5">
        <w:t xml:space="preserve">restriction of imports, </w:t>
      </w:r>
      <w:r w:rsidR="00A07ED3" w:rsidRPr="00C265D5">
        <w:t xml:space="preserve">continued shortages of essential and consumer goods, potential for increased direct and indirect taxes, and further measures to shore up reserves to tackle the fiscal deficit. These policies will of course </w:t>
      </w:r>
      <w:r w:rsidR="000D59F7" w:rsidRPr="00C265D5">
        <w:t>create</w:t>
      </w:r>
      <w:r w:rsidR="00A07ED3" w:rsidRPr="00C265D5">
        <w:t xml:space="preserve"> detrimental impact</w:t>
      </w:r>
      <w:r w:rsidR="000D59F7" w:rsidRPr="00C265D5">
        <w:t>s</w:t>
      </w:r>
      <w:r w:rsidR="00A07ED3" w:rsidRPr="00C265D5">
        <w:t xml:space="preserve"> on many industries </w:t>
      </w:r>
      <w:r w:rsidR="000D59F7" w:rsidRPr="00C265D5">
        <w:t>in the short to medium term, which would result in reduced economic activity and contraction in all forms of consumption, from which the construction industry is not exempt.</w:t>
      </w:r>
    </w:p>
    <w:p w14:paraId="10FEEDD5" w14:textId="77777777" w:rsidR="003F0668" w:rsidRPr="00C265D5" w:rsidRDefault="000D59F7" w:rsidP="005E4D7F">
      <w:pPr>
        <w:spacing w:after="80" w:line="258" w:lineRule="auto"/>
      </w:pPr>
      <w:r w:rsidRPr="00C265D5">
        <w:t xml:space="preserve">However, Tokyo Cement has taken many proactive measures to </w:t>
      </w:r>
      <w:proofErr w:type="spellStart"/>
      <w:r w:rsidRPr="00C265D5">
        <w:t>minimise</w:t>
      </w:r>
      <w:proofErr w:type="spellEnd"/>
      <w:r w:rsidRPr="00C265D5">
        <w:t xml:space="preserve"> the impact of</w:t>
      </w:r>
      <w:r w:rsidR="00887E71" w:rsidRPr="00C265D5">
        <w:t xml:space="preserve"> </w:t>
      </w:r>
      <w:r w:rsidR="00C10F28" w:rsidRPr="00C265D5">
        <w:t xml:space="preserve">possible </w:t>
      </w:r>
      <w:r w:rsidRPr="00C265D5">
        <w:t>contractions to the economy</w:t>
      </w:r>
      <w:r w:rsidR="00CA6CB5" w:rsidRPr="00C265D5">
        <w:t xml:space="preserve"> on the Group’s performance</w:t>
      </w:r>
      <w:r w:rsidRPr="00C265D5">
        <w:t xml:space="preserve">. </w:t>
      </w:r>
      <w:r w:rsidR="00887E71" w:rsidRPr="00C265D5">
        <w:t xml:space="preserve">Anticipating a challenging environment, the Group has reforecast demand, rescheduled </w:t>
      </w:r>
      <w:proofErr w:type="gramStart"/>
      <w:r w:rsidR="00887E71" w:rsidRPr="00C265D5">
        <w:t>sourcing</w:t>
      </w:r>
      <w:proofErr w:type="gramEnd"/>
      <w:r w:rsidR="00887E71" w:rsidRPr="00C265D5">
        <w:t xml:space="preserve"> and production plans, and adjusted cashflows accordingly. The Group has deployed </w:t>
      </w:r>
      <w:r w:rsidRPr="00C265D5">
        <w:t>drastic cost saving measures</w:t>
      </w:r>
      <w:r w:rsidR="00830C49" w:rsidRPr="00C265D5">
        <w:t xml:space="preserve">, streamlined operations, </w:t>
      </w:r>
      <w:r w:rsidR="00887E71" w:rsidRPr="00C265D5">
        <w:t>and postponed capital expenditure.</w:t>
      </w:r>
      <w:r w:rsidR="003C34D6" w:rsidRPr="00C265D5">
        <w:t xml:space="preserve"> </w:t>
      </w:r>
      <w:r w:rsidR="00215898" w:rsidRPr="00C265D5">
        <w:t xml:space="preserve">While the short to medium term economic landscape remains uncertain, </w:t>
      </w:r>
      <w:r w:rsidR="003C34D6" w:rsidRPr="00C265D5">
        <w:t xml:space="preserve">Tokyo Cement </w:t>
      </w:r>
      <w:r w:rsidR="00215898" w:rsidRPr="00C265D5">
        <w:t>has a proven track record of resilience and resurgence</w:t>
      </w:r>
      <w:r w:rsidR="00FA27A4" w:rsidRPr="00C265D5">
        <w:t>, and is committed to rebuilding the nation, stronger than ever before.</w:t>
      </w:r>
    </w:p>
    <w:p w14:paraId="49130462" w14:textId="457768DE" w:rsidR="00525D2D" w:rsidRPr="00C265D5" w:rsidRDefault="00C77ED7" w:rsidP="003F0668">
      <w:pPr>
        <w:spacing w:after="0" w:line="240" w:lineRule="auto"/>
      </w:pPr>
      <w:r w:rsidRPr="00C265D5">
        <w:t>--</w:t>
      </w:r>
    </w:p>
    <w:sectPr w:rsidR="00525D2D" w:rsidRPr="00C265D5" w:rsidSect="005E4D7F">
      <w:headerReference w:type="default" r:id="rId8"/>
      <w:type w:val="continuous"/>
      <w:pgSz w:w="12240" w:h="15840"/>
      <w:pgMar w:top="1008" w:right="1008" w:bottom="630" w:left="1008"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45C57" w14:textId="77777777" w:rsidR="006852F0" w:rsidRDefault="006852F0" w:rsidP="00594F3A">
      <w:r>
        <w:separator/>
      </w:r>
    </w:p>
  </w:endnote>
  <w:endnote w:type="continuationSeparator" w:id="0">
    <w:p w14:paraId="0C2A1669" w14:textId="77777777" w:rsidR="006852F0" w:rsidRDefault="006852F0" w:rsidP="00594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Segoe UI Semibold">
    <w:panose1 w:val="020B07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IDFont+F2">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1613A" w14:textId="77777777" w:rsidR="006852F0" w:rsidRDefault="006852F0" w:rsidP="00594F3A">
      <w:r>
        <w:separator/>
      </w:r>
    </w:p>
  </w:footnote>
  <w:footnote w:type="continuationSeparator" w:id="0">
    <w:p w14:paraId="624D2009" w14:textId="77777777" w:rsidR="006852F0" w:rsidRDefault="006852F0" w:rsidP="00594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8E769" w14:textId="77777777" w:rsidR="003F0668" w:rsidRPr="00C265D5" w:rsidRDefault="003F0668" w:rsidP="003F0668">
    <w:pPr>
      <w:pStyle w:val="Title"/>
      <w:jc w:val="left"/>
      <w:rPr>
        <w:rStyle w:val="fontstyle01"/>
        <w:rFonts w:ascii="Segoe UI Semibold" w:hAnsi="Segoe UI Semibold"/>
        <w:b w:val="0"/>
        <w:bCs w:val="0"/>
        <w:i/>
        <w:iCs/>
        <w:color w:val="auto"/>
        <w:sz w:val="26"/>
        <w:szCs w:val="26"/>
      </w:rPr>
    </w:pPr>
    <w:r w:rsidRPr="00C265D5">
      <w:rPr>
        <w:rStyle w:val="fontstyle01"/>
        <w:rFonts w:ascii="Segoe UI Semibold" w:hAnsi="Segoe UI Semibold"/>
        <w:b w:val="0"/>
        <w:bCs w:val="0"/>
        <w:i/>
        <w:iCs/>
        <w:color w:val="auto"/>
        <w:sz w:val="26"/>
        <w:szCs w:val="26"/>
      </w:rPr>
      <w:t>Press Release</w:t>
    </w:r>
  </w:p>
  <w:p w14:paraId="6DF87740" w14:textId="37367398" w:rsidR="003F0668" w:rsidRPr="00C265D5" w:rsidRDefault="003F0668" w:rsidP="003F0668">
    <w:pPr>
      <w:pStyle w:val="Subtitle"/>
      <w:spacing w:after="360" w:line="240" w:lineRule="auto"/>
      <w:rPr>
        <w:sz w:val="24"/>
        <w:szCs w:val="24"/>
      </w:rPr>
    </w:pPr>
    <w:r w:rsidRPr="00C265D5">
      <w:rPr>
        <w:rStyle w:val="fontstyle01"/>
        <w:rFonts w:ascii="Segoe UI" w:hAnsi="Segoe UI"/>
        <w:b w:val="0"/>
        <w:bCs w:val="0"/>
        <w:color w:val="auto"/>
      </w:rPr>
      <w:t>Colombo, 31 May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0BC9"/>
    <w:multiLevelType w:val="hybridMultilevel"/>
    <w:tmpl w:val="94EE0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8D2F97"/>
    <w:multiLevelType w:val="hybridMultilevel"/>
    <w:tmpl w:val="39B05EF2"/>
    <w:lvl w:ilvl="0" w:tplc="5928A804">
      <w:numFmt w:val="bullet"/>
      <w:lvlText w:val=""/>
      <w:lvlJc w:val="left"/>
      <w:pPr>
        <w:ind w:left="720" w:hanging="360"/>
      </w:pPr>
      <w:rPr>
        <w:rFonts w:ascii="Symbol" w:eastAsiaTheme="minorHAnsi"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E777C"/>
    <w:multiLevelType w:val="hybridMultilevel"/>
    <w:tmpl w:val="A23A3A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DF814EF"/>
    <w:multiLevelType w:val="hybridMultilevel"/>
    <w:tmpl w:val="340C1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EC5CEE"/>
    <w:multiLevelType w:val="hybridMultilevel"/>
    <w:tmpl w:val="A23A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7266F9"/>
    <w:multiLevelType w:val="hybridMultilevel"/>
    <w:tmpl w:val="3B1C1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357AE3"/>
    <w:multiLevelType w:val="hybridMultilevel"/>
    <w:tmpl w:val="C4FA3EAA"/>
    <w:lvl w:ilvl="0" w:tplc="76AC08A0">
      <w:numFmt w:val="bullet"/>
      <w:lvlText w:val="-"/>
      <w:lvlJc w:val="left"/>
      <w:pPr>
        <w:ind w:left="360" w:hanging="360"/>
      </w:pPr>
      <w:rPr>
        <w:rFonts w:ascii="Segoe UI" w:eastAsiaTheme="minorHAnsi"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5461E2E"/>
    <w:multiLevelType w:val="hybridMultilevel"/>
    <w:tmpl w:val="0442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AC16C9"/>
    <w:multiLevelType w:val="hybridMultilevel"/>
    <w:tmpl w:val="BBF2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4A292E"/>
    <w:multiLevelType w:val="hybridMultilevel"/>
    <w:tmpl w:val="059A48EC"/>
    <w:lvl w:ilvl="0" w:tplc="76AC08A0">
      <w:numFmt w:val="bullet"/>
      <w:lvlText w:val="-"/>
      <w:lvlJc w:val="left"/>
      <w:pPr>
        <w:ind w:left="360" w:hanging="360"/>
      </w:pPr>
      <w:rPr>
        <w:rFonts w:ascii="Segoe UI" w:eastAsiaTheme="minorHAnsi"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A2336D"/>
    <w:multiLevelType w:val="hybridMultilevel"/>
    <w:tmpl w:val="32F8A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A113227"/>
    <w:multiLevelType w:val="hybridMultilevel"/>
    <w:tmpl w:val="7BC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F37CC7"/>
    <w:multiLevelType w:val="hybridMultilevel"/>
    <w:tmpl w:val="5C4C6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12597561">
    <w:abstractNumId w:val="6"/>
  </w:num>
  <w:num w:numId="2" w16cid:durableId="419060996">
    <w:abstractNumId w:val="3"/>
  </w:num>
  <w:num w:numId="3" w16cid:durableId="1470443432">
    <w:abstractNumId w:val="0"/>
  </w:num>
  <w:num w:numId="4" w16cid:durableId="42215469">
    <w:abstractNumId w:val="12"/>
  </w:num>
  <w:num w:numId="5" w16cid:durableId="1329559428">
    <w:abstractNumId w:val="10"/>
  </w:num>
  <w:num w:numId="6" w16cid:durableId="1834837712">
    <w:abstractNumId w:val="9"/>
  </w:num>
  <w:num w:numId="7" w16cid:durableId="1723485496">
    <w:abstractNumId w:val="7"/>
  </w:num>
  <w:num w:numId="8" w16cid:durableId="1818839183">
    <w:abstractNumId w:val="5"/>
  </w:num>
  <w:num w:numId="9" w16cid:durableId="1978753207">
    <w:abstractNumId w:val="8"/>
  </w:num>
  <w:num w:numId="10" w16cid:durableId="251861833">
    <w:abstractNumId w:val="11"/>
  </w:num>
  <w:num w:numId="11" w16cid:durableId="1806116561">
    <w:abstractNumId w:val="4"/>
  </w:num>
  <w:num w:numId="12" w16cid:durableId="393049139">
    <w:abstractNumId w:val="1"/>
  </w:num>
  <w:num w:numId="13" w16cid:durableId="316960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216"/>
    <w:rsid w:val="00000C24"/>
    <w:rsid w:val="000046C1"/>
    <w:rsid w:val="00005AA1"/>
    <w:rsid w:val="000106E2"/>
    <w:rsid w:val="00010DA5"/>
    <w:rsid w:val="00011862"/>
    <w:rsid w:val="00011E09"/>
    <w:rsid w:val="000125E0"/>
    <w:rsid w:val="00012DCF"/>
    <w:rsid w:val="00014CA2"/>
    <w:rsid w:val="00016CEB"/>
    <w:rsid w:val="00023801"/>
    <w:rsid w:val="00023E00"/>
    <w:rsid w:val="00024160"/>
    <w:rsid w:val="000276EB"/>
    <w:rsid w:val="00036FA1"/>
    <w:rsid w:val="00041244"/>
    <w:rsid w:val="000415BF"/>
    <w:rsid w:val="0005022F"/>
    <w:rsid w:val="00050EE0"/>
    <w:rsid w:val="00052736"/>
    <w:rsid w:val="00056297"/>
    <w:rsid w:val="0006042E"/>
    <w:rsid w:val="000606BE"/>
    <w:rsid w:val="0006412B"/>
    <w:rsid w:val="00067964"/>
    <w:rsid w:val="00070933"/>
    <w:rsid w:val="00070BCD"/>
    <w:rsid w:val="00084177"/>
    <w:rsid w:val="000846A5"/>
    <w:rsid w:val="00085DEA"/>
    <w:rsid w:val="000A30D1"/>
    <w:rsid w:val="000A3497"/>
    <w:rsid w:val="000A3D84"/>
    <w:rsid w:val="000A489E"/>
    <w:rsid w:val="000A56BA"/>
    <w:rsid w:val="000B0BCB"/>
    <w:rsid w:val="000B15FD"/>
    <w:rsid w:val="000B253D"/>
    <w:rsid w:val="000B2B53"/>
    <w:rsid w:val="000B7EC6"/>
    <w:rsid w:val="000C142C"/>
    <w:rsid w:val="000C19D6"/>
    <w:rsid w:val="000C6D89"/>
    <w:rsid w:val="000D1D39"/>
    <w:rsid w:val="000D3626"/>
    <w:rsid w:val="000D3929"/>
    <w:rsid w:val="000D59F7"/>
    <w:rsid w:val="000D5C09"/>
    <w:rsid w:val="000E094A"/>
    <w:rsid w:val="000E746A"/>
    <w:rsid w:val="000F3BEB"/>
    <w:rsid w:val="000F4C29"/>
    <w:rsid w:val="00102982"/>
    <w:rsid w:val="0010475E"/>
    <w:rsid w:val="00106FC0"/>
    <w:rsid w:val="00111BA8"/>
    <w:rsid w:val="001144F5"/>
    <w:rsid w:val="00114BCD"/>
    <w:rsid w:val="00120A98"/>
    <w:rsid w:val="0012102B"/>
    <w:rsid w:val="0012408C"/>
    <w:rsid w:val="0013066B"/>
    <w:rsid w:val="00134528"/>
    <w:rsid w:val="00134975"/>
    <w:rsid w:val="00140B2B"/>
    <w:rsid w:val="00143AA2"/>
    <w:rsid w:val="00143B66"/>
    <w:rsid w:val="001520FD"/>
    <w:rsid w:val="00153168"/>
    <w:rsid w:val="00154293"/>
    <w:rsid w:val="00157591"/>
    <w:rsid w:val="00161D89"/>
    <w:rsid w:val="001638F2"/>
    <w:rsid w:val="00163F3A"/>
    <w:rsid w:val="0016456D"/>
    <w:rsid w:val="00164759"/>
    <w:rsid w:val="001702EA"/>
    <w:rsid w:val="001719EA"/>
    <w:rsid w:val="00173152"/>
    <w:rsid w:val="001773AA"/>
    <w:rsid w:val="0017747B"/>
    <w:rsid w:val="001877A4"/>
    <w:rsid w:val="00187CA3"/>
    <w:rsid w:val="00193A86"/>
    <w:rsid w:val="00193C13"/>
    <w:rsid w:val="00195EDD"/>
    <w:rsid w:val="001A0272"/>
    <w:rsid w:val="001A3BFF"/>
    <w:rsid w:val="001A3E93"/>
    <w:rsid w:val="001A4840"/>
    <w:rsid w:val="001A52A0"/>
    <w:rsid w:val="001A7E1E"/>
    <w:rsid w:val="001B1DA9"/>
    <w:rsid w:val="001B266B"/>
    <w:rsid w:val="001B3BCF"/>
    <w:rsid w:val="001B471A"/>
    <w:rsid w:val="001B6367"/>
    <w:rsid w:val="001C2CC8"/>
    <w:rsid w:val="001C3ED4"/>
    <w:rsid w:val="001C6E8A"/>
    <w:rsid w:val="001D0279"/>
    <w:rsid w:val="001D075B"/>
    <w:rsid w:val="001D2EA2"/>
    <w:rsid w:val="001D363C"/>
    <w:rsid w:val="001D6B5E"/>
    <w:rsid w:val="001E0382"/>
    <w:rsid w:val="001E2403"/>
    <w:rsid w:val="001E481E"/>
    <w:rsid w:val="001E6F1B"/>
    <w:rsid w:val="001E78C7"/>
    <w:rsid w:val="001F07C4"/>
    <w:rsid w:val="001F33E4"/>
    <w:rsid w:val="001F70C7"/>
    <w:rsid w:val="001F742E"/>
    <w:rsid w:val="00204D20"/>
    <w:rsid w:val="00205C99"/>
    <w:rsid w:val="00212DFF"/>
    <w:rsid w:val="00215898"/>
    <w:rsid w:val="00215D60"/>
    <w:rsid w:val="002162A2"/>
    <w:rsid w:val="00217F56"/>
    <w:rsid w:val="00223044"/>
    <w:rsid w:val="0022377D"/>
    <w:rsid w:val="002364F6"/>
    <w:rsid w:val="00243E17"/>
    <w:rsid w:val="002461F1"/>
    <w:rsid w:val="00247ED7"/>
    <w:rsid w:val="00253C24"/>
    <w:rsid w:val="002558A1"/>
    <w:rsid w:val="00263C6B"/>
    <w:rsid w:val="00265A4D"/>
    <w:rsid w:val="0026625C"/>
    <w:rsid w:val="0027566C"/>
    <w:rsid w:val="00277E88"/>
    <w:rsid w:val="00280034"/>
    <w:rsid w:val="00282ED7"/>
    <w:rsid w:val="00284DDA"/>
    <w:rsid w:val="00285432"/>
    <w:rsid w:val="00285E32"/>
    <w:rsid w:val="00290C91"/>
    <w:rsid w:val="00290F17"/>
    <w:rsid w:val="002929BB"/>
    <w:rsid w:val="00294F66"/>
    <w:rsid w:val="002A07AE"/>
    <w:rsid w:val="002A1681"/>
    <w:rsid w:val="002A2C6A"/>
    <w:rsid w:val="002A3B2F"/>
    <w:rsid w:val="002A416E"/>
    <w:rsid w:val="002A6042"/>
    <w:rsid w:val="002A6B6C"/>
    <w:rsid w:val="002B62BD"/>
    <w:rsid w:val="002B693C"/>
    <w:rsid w:val="002B7115"/>
    <w:rsid w:val="002C0146"/>
    <w:rsid w:val="002C1421"/>
    <w:rsid w:val="002C5C3B"/>
    <w:rsid w:val="002C641F"/>
    <w:rsid w:val="002C6D9B"/>
    <w:rsid w:val="002E06B8"/>
    <w:rsid w:val="002E1B92"/>
    <w:rsid w:val="002E2515"/>
    <w:rsid w:val="002E44D0"/>
    <w:rsid w:val="002E58D8"/>
    <w:rsid w:val="002F2476"/>
    <w:rsid w:val="002F3510"/>
    <w:rsid w:val="002F4353"/>
    <w:rsid w:val="002F718E"/>
    <w:rsid w:val="00303016"/>
    <w:rsid w:val="00304F25"/>
    <w:rsid w:val="003072D1"/>
    <w:rsid w:val="00307B99"/>
    <w:rsid w:val="00311B28"/>
    <w:rsid w:val="003147AC"/>
    <w:rsid w:val="003149EE"/>
    <w:rsid w:val="003205C4"/>
    <w:rsid w:val="00323DF0"/>
    <w:rsid w:val="003326ED"/>
    <w:rsid w:val="00335CB4"/>
    <w:rsid w:val="00341B2F"/>
    <w:rsid w:val="003431EA"/>
    <w:rsid w:val="003440FE"/>
    <w:rsid w:val="003451FC"/>
    <w:rsid w:val="003466E2"/>
    <w:rsid w:val="003469F2"/>
    <w:rsid w:val="00347BBC"/>
    <w:rsid w:val="003514EA"/>
    <w:rsid w:val="00354A9E"/>
    <w:rsid w:val="0035512E"/>
    <w:rsid w:val="0036278E"/>
    <w:rsid w:val="00370C21"/>
    <w:rsid w:val="00374BDF"/>
    <w:rsid w:val="00380E4C"/>
    <w:rsid w:val="00384CCC"/>
    <w:rsid w:val="00385D70"/>
    <w:rsid w:val="00387DEA"/>
    <w:rsid w:val="0039087E"/>
    <w:rsid w:val="00396B82"/>
    <w:rsid w:val="003A5C5F"/>
    <w:rsid w:val="003B59EC"/>
    <w:rsid w:val="003C34D6"/>
    <w:rsid w:val="003C6A64"/>
    <w:rsid w:val="003D2378"/>
    <w:rsid w:val="003D3418"/>
    <w:rsid w:val="003D3D8D"/>
    <w:rsid w:val="003D655A"/>
    <w:rsid w:val="003E057F"/>
    <w:rsid w:val="003E5CB9"/>
    <w:rsid w:val="003E7AB0"/>
    <w:rsid w:val="003F0668"/>
    <w:rsid w:val="003F49B8"/>
    <w:rsid w:val="003F4B89"/>
    <w:rsid w:val="003F5679"/>
    <w:rsid w:val="003F5E36"/>
    <w:rsid w:val="003F62EE"/>
    <w:rsid w:val="004000E4"/>
    <w:rsid w:val="00401590"/>
    <w:rsid w:val="00407684"/>
    <w:rsid w:val="00407EC2"/>
    <w:rsid w:val="004131BC"/>
    <w:rsid w:val="00414934"/>
    <w:rsid w:val="00416D20"/>
    <w:rsid w:val="00421A4E"/>
    <w:rsid w:val="00423D5B"/>
    <w:rsid w:val="004247FC"/>
    <w:rsid w:val="00427F7E"/>
    <w:rsid w:val="00430981"/>
    <w:rsid w:val="00444108"/>
    <w:rsid w:val="00444BD7"/>
    <w:rsid w:val="00446688"/>
    <w:rsid w:val="00447353"/>
    <w:rsid w:val="00453847"/>
    <w:rsid w:val="00457117"/>
    <w:rsid w:val="00460193"/>
    <w:rsid w:val="00467F31"/>
    <w:rsid w:val="00471B47"/>
    <w:rsid w:val="00471D8D"/>
    <w:rsid w:val="004738E3"/>
    <w:rsid w:val="004802C5"/>
    <w:rsid w:val="00482178"/>
    <w:rsid w:val="00484A45"/>
    <w:rsid w:val="004876DA"/>
    <w:rsid w:val="0049020A"/>
    <w:rsid w:val="00490A82"/>
    <w:rsid w:val="00492A6E"/>
    <w:rsid w:val="00493711"/>
    <w:rsid w:val="004945B8"/>
    <w:rsid w:val="00496173"/>
    <w:rsid w:val="004A726E"/>
    <w:rsid w:val="004B5B90"/>
    <w:rsid w:val="004C1AE7"/>
    <w:rsid w:val="004D0793"/>
    <w:rsid w:val="004D0CF6"/>
    <w:rsid w:val="004D1912"/>
    <w:rsid w:val="004D2853"/>
    <w:rsid w:val="004D322A"/>
    <w:rsid w:val="004D6546"/>
    <w:rsid w:val="004D7BCE"/>
    <w:rsid w:val="004E3613"/>
    <w:rsid w:val="004E440E"/>
    <w:rsid w:val="004E56A8"/>
    <w:rsid w:val="004E5F43"/>
    <w:rsid w:val="004E6B7E"/>
    <w:rsid w:val="004F4090"/>
    <w:rsid w:val="004F7B2F"/>
    <w:rsid w:val="0050140C"/>
    <w:rsid w:val="00505C34"/>
    <w:rsid w:val="005104BE"/>
    <w:rsid w:val="00511936"/>
    <w:rsid w:val="00513FCE"/>
    <w:rsid w:val="00515136"/>
    <w:rsid w:val="00515888"/>
    <w:rsid w:val="005164EF"/>
    <w:rsid w:val="005217DF"/>
    <w:rsid w:val="00525977"/>
    <w:rsid w:val="00525D2D"/>
    <w:rsid w:val="0052679F"/>
    <w:rsid w:val="005279CB"/>
    <w:rsid w:val="00530459"/>
    <w:rsid w:val="005309C7"/>
    <w:rsid w:val="00531D17"/>
    <w:rsid w:val="00534D63"/>
    <w:rsid w:val="005354AB"/>
    <w:rsid w:val="005429DC"/>
    <w:rsid w:val="005469A3"/>
    <w:rsid w:val="00552E0E"/>
    <w:rsid w:val="00553857"/>
    <w:rsid w:val="00554D26"/>
    <w:rsid w:val="0055666C"/>
    <w:rsid w:val="00562C41"/>
    <w:rsid w:val="00566FBD"/>
    <w:rsid w:val="00567852"/>
    <w:rsid w:val="00574633"/>
    <w:rsid w:val="0057655B"/>
    <w:rsid w:val="005817A0"/>
    <w:rsid w:val="00581D5B"/>
    <w:rsid w:val="00582D2E"/>
    <w:rsid w:val="0058342B"/>
    <w:rsid w:val="0058606A"/>
    <w:rsid w:val="00594F3A"/>
    <w:rsid w:val="00596118"/>
    <w:rsid w:val="00597C7E"/>
    <w:rsid w:val="005A3DB6"/>
    <w:rsid w:val="005A48E5"/>
    <w:rsid w:val="005B1843"/>
    <w:rsid w:val="005B31FF"/>
    <w:rsid w:val="005B5C07"/>
    <w:rsid w:val="005B6F9F"/>
    <w:rsid w:val="005B78FA"/>
    <w:rsid w:val="005C0BAF"/>
    <w:rsid w:val="005C20D4"/>
    <w:rsid w:val="005C30A3"/>
    <w:rsid w:val="005C4F14"/>
    <w:rsid w:val="005D67AF"/>
    <w:rsid w:val="005E056F"/>
    <w:rsid w:val="005E0781"/>
    <w:rsid w:val="005E1F3B"/>
    <w:rsid w:val="005E4AB5"/>
    <w:rsid w:val="005E4D7F"/>
    <w:rsid w:val="005F1C5A"/>
    <w:rsid w:val="005F5310"/>
    <w:rsid w:val="0060206F"/>
    <w:rsid w:val="00604120"/>
    <w:rsid w:val="00614180"/>
    <w:rsid w:val="00623959"/>
    <w:rsid w:val="00627212"/>
    <w:rsid w:val="006277B9"/>
    <w:rsid w:val="0063447F"/>
    <w:rsid w:val="006348E4"/>
    <w:rsid w:val="0063733B"/>
    <w:rsid w:val="006426E5"/>
    <w:rsid w:val="00647BAB"/>
    <w:rsid w:val="00647E3C"/>
    <w:rsid w:val="0066020C"/>
    <w:rsid w:val="00662D7E"/>
    <w:rsid w:val="00666F1C"/>
    <w:rsid w:val="006701B1"/>
    <w:rsid w:val="00671326"/>
    <w:rsid w:val="0068197C"/>
    <w:rsid w:val="006852F0"/>
    <w:rsid w:val="0068567C"/>
    <w:rsid w:val="0069530F"/>
    <w:rsid w:val="00696292"/>
    <w:rsid w:val="006A030C"/>
    <w:rsid w:val="006A0E71"/>
    <w:rsid w:val="006A3AED"/>
    <w:rsid w:val="006A4300"/>
    <w:rsid w:val="006A50FC"/>
    <w:rsid w:val="006B0D03"/>
    <w:rsid w:val="006B269C"/>
    <w:rsid w:val="006B46EB"/>
    <w:rsid w:val="006C0555"/>
    <w:rsid w:val="006C0AEC"/>
    <w:rsid w:val="006C0F63"/>
    <w:rsid w:val="006C191F"/>
    <w:rsid w:val="006C6917"/>
    <w:rsid w:val="006C6D12"/>
    <w:rsid w:val="006D3170"/>
    <w:rsid w:val="006D3C4C"/>
    <w:rsid w:val="006D60E4"/>
    <w:rsid w:val="006D78B2"/>
    <w:rsid w:val="006D7A44"/>
    <w:rsid w:val="006E0EF8"/>
    <w:rsid w:val="006F179A"/>
    <w:rsid w:val="00707129"/>
    <w:rsid w:val="00713810"/>
    <w:rsid w:val="007147E2"/>
    <w:rsid w:val="0072634D"/>
    <w:rsid w:val="0072643B"/>
    <w:rsid w:val="00726750"/>
    <w:rsid w:val="00730577"/>
    <w:rsid w:val="00732B33"/>
    <w:rsid w:val="0073479D"/>
    <w:rsid w:val="00734A83"/>
    <w:rsid w:val="0074105C"/>
    <w:rsid w:val="00741DF8"/>
    <w:rsid w:val="007424E4"/>
    <w:rsid w:val="007446C3"/>
    <w:rsid w:val="007456A7"/>
    <w:rsid w:val="007464E6"/>
    <w:rsid w:val="00751C66"/>
    <w:rsid w:val="00753EA8"/>
    <w:rsid w:val="00756EFE"/>
    <w:rsid w:val="007579A5"/>
    <w:rsid w:val="00760302"/>
    <w:rsid w:val="007640B0"/>
    <w:rsid w:val="007662ED"/>
    <w:rsid w:val="0077046C"/>
    <w:rsid w:val="0077642C"/>
    <w:rsid w:val="00776E69"/>
    <w:rsid w:val="0077707F"/>
    <w:rsid w:val="007808A4"/>
    <w:rsid w:val="00780BD6"/>
    <w:rsid w:val="00780E1B"/>
    <w:rsid w:val="0078353A"/>
    <w:rsid w:val="00791D93"/>
    <w:rsid w:val="00793AB2"/>
    <w:rsid w:val="0079401B"/>
    <w:rsid w:val="0079622A"/>
    <w:rsid w:val="007970AC"/>
    <w:rsid w:val="007A06F1"/>
    <w:rsid w:val="007A11CC"/>
    <w:rsid w:val="007A2DC5"/>
    <w:rsid w:val="007B454E"/>
    <w:rsid w:val="007B52C4"/>
    <w:rsid w:val="007B58E3"/>
    <w:rsid w:val="007B66EE"/>
    <w:rsid w:val="007B77E4"/>
    <w:rsid w:val="007C3A8C"/>
    <w:rsid w:val="007C5426"/>
    <w:rsid w:val="007C59B2"/>
    <w:rsid w:val="007C7B27"/>
    <w:rsid w:val="007D2328"/>
    <w:rsid w:val="007D31F3"/>
    <w:rsid w:val="007D6D8E"/>
    <w:rsid w:val="007F2640"/>
    <w:rsid w:val="007F76DA"/>
    <w:rsid w:val="007F7D0A"/>
    <w:rsid w:val="008013E6"/>
    <w:rsid w:val="00802962"/>
    <w:rsid w:val="00804C93"/>
    <w:rsid w:val="00805105"/>
    <w:rsid w:val="008153B1"/>
    <w:rsid w:val="00815DC6"/>
    <w:rsid w:val="008164C2"/>
    <w:rsid w:val="00821740"/>
    <w:rsid w:val="00821EEF"/>
    <w:rsid w:val="00823841"/>
    <w:rsid w:val="0082571B"/>
    <w:rsid w:val="0082698A"/>
    <w:rsid w:val="008277FC"/>
    <w:rsid w:val="00830142"/>
    <w:rsid w:val="00830C49"/>
    <w:rsid w:val="008332DA"/>
    <w:rsid w:val="008359FC"/>
    <w:rsid w:val="00837B68"/>
    <w:rsid w:val="008402C7"/>
    <w:rsid w:val="0084331E"/>
    <w:rsid w:val="008519B2"/>
    <w:rsid w:val="00852857"/>
    <w:rsid w:val="00853E1E"/>
    <w:rsid w:val="00856C31"/>
    <w:rsid w:val="00861DC4"/>
    <w:rsid w:val="00863B44"/>
    <w:rsid w:val="00864D22"/>
    <w:rsid w:val="0086673A"/>
    <w:rsid w:val="008674F4"/>
    <w:rsid w:val="00867746"/>
    <w:rsid w:val="008700ED"/>
    <w:rsid w:val="0087215C"/>
    <w:rsid w:val="00872F06"/>
    <w:rsid w:val="00876BC9"/>
    <w:rsid w:val="00887E71"/>
    <w:rsid w:val="00891D47"/>
    <w:rsid w:val="0089209C"/>
    <w:rsid w:val="00896542"/>
    <w:rsid w:val="008A1033"/>
    <w:rsid w:val="008A2513"/>
    <w:rsid w:val="008A2BC6"/>
    <w:rsid w:val="008A306F"/>
    <w:rsid w:val="008A7D88"/>
    <w:rsid w:val="008B18DF"/>
    <w:rsid w:val="008B5FFA"/>
    <w:rsid w:val="008B7C20"/>
    <w:rsid w:val="008C21EC"/>
    <w:rsid w:val="008C4B59"/>
    <w:rsid w:val="008D420A"/>
    <w:rsid w:val="008D4499"/>
    <w:rsid w:val="008E0E99"/>
    <w:rsid w:val="008E2482"/>
    <w:rsid w:val="008E6107"/>
    <w:rsid w:val="008E7D9D"/>
    <w:rsid w:val="008F0E1F"/>
    <w:rsid w:val="008F2FB1"/>
    <w:rsid w:val="009077AE"/>
    <w:rsid w:val="00914125"/>
    <w:rsid w:val="00915AF9"/>
    <w:rsid w:val="00921270"/>
    <w:rsid w:val="00924C43"/>
    <w:rsid w:val="00931A59"/>
    <w:rsid w:val="00937AAD"/>
    <w:rsid w:val="00940513"/>
    <w:rsid w:val="009429D2"/>
    <w:rsid w:val="00942B99"/>
    <w:rsid w:val="0095130C"/>
    <w:rsid w:val="00951497"/>
    <w:rsid w:val="009536C1"/>
    <w:rsid w:val="00967044"/>
    <w:rsid w:val="00970286"/>
    <w:rsid w:val="0097043E"/>
    <w:rsid w:val="00972896"/>
    <w:rsid w:val="00977782"/>
    <w:rsid w:val="00980D35"/>
    <w:rsid w:val="009824BA"/>
    <w:rsid w:val="009846DC"/>
    <w:rsid w:val="0099039B"/>
    <w:rsid w:val="009912F8"/>
    <w:rsid w:val="009A160E"/>
    <w:rsid w:val="009A400B"/>
    <w:rsid w:val="009A49F4"/>
    <w:rsid w:val="009A4C71"/>
    <w:rsid w:val="009B0FDE"/>
    <w:rsid w:val="009B4102"/>
    <w:rsid w:val="009B4C30"/>
    <w:rsid w:val="009B5503"/>
    <w:rsid w:val="009C0FBA"/>
    <w:rsid w:val="009C4A04"/>
    <w:rsid w:val="009C5595"/>
    <w:rsid w:val="009C65B2"/>
    <w:rsid w:val="009D0CE1"/>
    <w:rsid w:val="009D0D32"/>
    <w:rsid w:val="009D132B"/>
    <w:rsid w:val="009D2AD4"/>
    <w:rsid w:val="009D78EE"/>
    <w:rsid w:val="009E1DE1"/>
    <w:rsid w:val="009E2343"/>
    <w:rsid w:val="009E2406"/>
    <w:rsid w:val="009E24BB"/>
    <w:rsid w:val="009E65C4"/>
    <w:rsid w:val="009F0D63"/>
    <w:rsid w:val="009F41B0"/>
    <w:rsid w:val="009F6ACC"/>
    <w:rsid w:val="00A0458E"/>
    <w:rsid w:val="00A05EED"/>
    <w:rsid w:val="00A06D0F"/>
    <w:rsid w:val="00A07422"/>
    <w:rsid w:val="00A07ED3"/>
    <w:rsid w:val="00A15247"/>
    <w:rsid w:val="00A16BAB"/>
    <w:rsid w:val="00A20967"/>
    <w:rsid w:val="00A21728"/>
    <w:rsid w:val="00A23428"/>
    <w:rsid w:val="00A23EB5"/>
    <w:rsid w:val="00A26ADB"/>
    <w:rsid w:val="00A31018"/>
    <w:rsid w:val="00A34E1C"/>
    <w:rsid w:val="00A35B40"/>
    <w:rsid w:val="00A43FC3"/>
    <w:rsid w:val="00A44471"/>
    <w:rsid w:val="00A463A1"/>
    <w:rsid w:val="00A4753B"/>
    <w:rsid w:val="00A50DB4"/>
    <w:rsid w:val="00A515E4"/>
    <w:rsid w:val="00A52A58"/>
    <w:rsid w:val="00A55821"/>
    <w:rsid w:val="00A55A28"/>
    <w:rsid w:val="00A573DF"/>
    <w:rsid w:val="00A57E72"/>
    <w:rsid w:val="00A62D1D"/>
    <w:rsid w:val="00A62E2B"/>
    <w:rsid w:val="00A62E92"/>
    <w:rsid w:val="00A721ED"/>
    <w:rsid w:val="00A7323F"/>
    <w:rsid w:val="00A74A2C"/>
    <w:rsid w:val="00A81F6A"/>
    <w:rsid w:val="00A85E39"/>
    <w:rsid w:val="00A86216"/>
    <w:rsid w:val="00A86A3B"/>
    <w:rsid w:val="00A95E51"/>
    <w:rsid w:val="00AA1261"/>
    <w:rsid w:val="00AA17E2"/>
    <w:rsid w:val="00AA2EA5"/>
    <w:rsid w:val="00AA33BC"/>
    <w:rsid w:val="00AA6D8E"/>
    <w:rsid w:val="00AB0EE4"/>
    <w:rsid w:val="00AB10CA"/>
    <w:rsid w:val="00AB14D7"/>
    <w:rsid w:val="00AB15FA"/>
    <w:rsid w:val="00AB5EDA"/>
    <w:rsid w:val="00AC0495"/>
    <w:rsid w:val="00AC0C0F"/>
    <w:rsid w:val="00AC391F"/>
    <w:rsid w:val="00AC498A"/>
    <w:rsid w:val="00AD03E3"/>
    <w:rsid w:val="00AD3DD0"/>
    <w:rsid w:val="00AD7822"/>
    <w:rsid w:val="00AE1577"/>
    <w:rsid w:val="00AE1B0C"/>
    <w:rsid w:val="00AE2AB9"/>
    <w:rsid w:val="00AE56E9"/>
    <w:rsid w:val="00AF0D31"/>
    <w:rsid w:val="00AF2EC4"/>
    <w:rsid w:val="00AF4E4B"/>
    <w:rsid w:val="00AF5385"/>
    <w:rsid w:val="00AF6FE0"/>
    <w:rsid w:val="00B002B9"/>
    <w:rsid w:val="00B04B5E"/>
    <w:rsid w:val="00B07549"/>
    <w:rsid w:val="00B11578"/>
    <w:rsid w:val="00B143E5"/>
    <w:rsid w:val="00B143FA"/>
    <w:rsid w:val="00B15291"/>
    <w:rsid w:val="00B17777"/>
    <w:rsid w:val="00B24467"/>
    <w:rsid w:val="00B31A07"/>
    <w:rsid w:val="00B327E9"/>
    <w:rsid w:val="00B33049"/>
    <w:rsid w:val="00B33543"/>
    <w:rsid w:val="00B50169"/>
    <w:rsid w:val="00B508EB"/>
    <w:rsid w:val="00B52FB3"/>
    <w:rsid w:val="00B54C69"/>
    <w:rsid w:val="00B62226"/>
    <w:rsid w:val="00B623D7"/>
    <w:rsid w:val="00B7145F"/>
    <w:rsid w:val="00B74182"/>
    <w:rsid w:val="00B75BA7"/>
    <w:rsid w:val="00B75EF4"/>
    <w:rsid w:val="00B805AB"/>
    <w:rsid w:val="00B80826"/>
    <w:rsid w:val="00B86663"/>
    <w:rsid w:val="00B8702A"/>
    <w:rsid w:val="00B935CF"/>
    <w:rsid w:val="00BA17AF"/>
    <w:rsid w:val="00BA5644"/>
    <w:rsid w:val="00BA56AF"/>
    <w:rsid w:val="00BA6764"/>
    <w:rsid w:val="00BB20CB"/>
    <w:rsid w:val="00BB2262"/>
    <w:rsid w:val="00BC012A"/>
    <w:rsid w:val="00BD2F6D"/>
    <w:rsid w:val="00BE18C4"/>
    <w:rsid w:val="00BE2C9A"/>
    <w:rsid w:val="00BE6AAD"/>
    <w:rsid w:val="00BE7190"/>
    <w:rsid w:val="00BF2055"/>
    <w:rsid w:val="00BF5120"/>
    <w:rsid w:val="00BF5AB9"/>
    <w:rsid w:val="00C00186"/>
    <w:rsid w:val="00C005A1"/>
    <w:rsid w:val="00C06247"/>
    <w:rsid w:val="00C06451"/>
    <w:rsid w:val="00C10F28"/>
    <w:rsid w:val="00C17561"/>
    <w:rsid w:val="00C20495"/>
    <w:rsid w:val="00C20638"/>
    <w:rsid w:val="00C22B1E"/>
    <w:rsid w:val="00C24642"/>
    <w:rsid w:val="00C265D5"/>
    <w:rsid w:val="00C2684D"/>
    <w:rsid w:val="00C2789A"/>
    <w:rsid w:val="00C3076F"/>
    <w:rsid w:val="00C338D9"/>
    <w:rsid w:val="00C37992"/>
    <w:rsid w:val="00C40290"/>
    <w:rsid w:val="00C42BB0"/>
    <w:rsid w:val="00C4578A"/>
    <w:rsid w:val="00C517D2"/>
    <w:rsid w:val="00C5602D"/>
    <w:rsid w:val="00C57006"/>
    <w:rsid w:val="00C607C9"/>
    <w:rsid w:val="00C60B60"/>
    <w:rsid w:val="00C60EC0"/>
    <w:rsid w:val="00C617F4"/>
    <w:rsid w:val="00C63194"/>
    <w:rsid w:val="00C635BD"/>
    <w:rsid w:val="00C63FE8"/>
    <w:rsid w:val="00C65A95"/>
    <w:rsid w:val="00C66EA9"/>
    <w:rsid w:val="00C71797"/>
    <w:rsid w:val="00C73A0A"/>
    <w:rsid w:val="00C77ED7"/>
    <w:rsid w:val="00C82A21"/>
    <w:rsid w:val="00C8712C"/>
    <w:rsid w:val="00C93AAA"/>
    <w:rsid w:val="00C96F62"/>
    <w:rsid w:val="00C97040"/>
    <w:rsid w:val="00CA583B"/>
    <w:rsid w:val="00CA6C15"/>
    <w:rsid w:val="00CA6CB5"/>
    <w:rsid w:val="00CC1B3C"/>
    <w:rsid w:val="00CC338D"/>
    <w:rsid w:val="00CC6949"/>
    <w:rsid w:val="00CD340C"/>
    <w:rsid w:val="00CD4953"/>
    <w:rsid w:val="00CD6BB2"/>
    <w:rsid w:val="00CE1C81"/>
    <w:rsid w:val="00CE2372"/>
    <w:rsid w:val="00CE26EE"/>
    <w:rsid w:val="00CE4D6B"/>
    <w:rsid w:val="00CF1257"/>
    <w:rsid w:val="00CF6459"/>
    <w:rsid w:val="00CF7924"/>
    <w:rsid w:val="00D049A7"/>
    <w:rsid w:val="00D0696B"/>
    <w:rsid w:val="00D06C58"/>
    <w:rsid w:val="00D103CA"/>
    <w:rsid w:val="00D13BA6"/>
    <w:rsid w:val="00D2221A"/>
    <w:rsid w:val="00D23A32"/>
    <w:rsid w:val="00D24F0F"/>
    <w:rsid w:val="00D26912"/>
    <w:rsid w:val="00D26F37"/>
    <w:rsid w:val="00D3096D"/>
    <w:rsid w:val="00D3188C"/>
    <w:rsid w:val="00D32844"/>
    <w:rsid w:val="00D40486"/>
    <w:rsid w:val="00D44617"/>
    <w:rsid w:val="00D44875"/>
    <w:rsid w:val="00D45065"/>
    <w:rsid w:val="00D50134"/>
    <w:rsid w:val="00D5076B"/>
    <w:rsid w:val="00D53E3D"/>
    <w:rsid w:val="00D54320"/>
    <w:rsid w:val="00D576D1"/>
    <w:rsid w:val="00D63691"/>
    <w:rsid w:val="00D64395"/>
    <w:rsid w:val="00D64E45"/>
    <w:rsid w:val="00D66BC3"/>
    <w:rsid w:val="00D72F23"/>
    <w:rsid w:val="00D75339"/>
    <w:rsid w:val="00D77888"/>
    <w:rsid w:val="00D81989"/>
    <w:rsid w:val="00D853E6"/>
    <w:rsid w:val="00D86CB2"/>
    <w:rsid w:val="00D8739E"/>
    <w:rsid w:val="00DA0956"/>
    <w:rsid w:val="00DA10BE"/>
    <w:rsid w:val="00DA229C"/>
    <w:rsid w:val="00DA3AAC"/>
    <w:rsid w:val="00DA4548"/>
    <w:rsid w:val="00DA55E0"/>
    <w:rsid w:val="00DB1798"/>
    <w:rsid w:val="00DB3551"/>
    <w:rsid w:val="00DB626E"/>
    <w:rsid w:val="00DB6E69"/>
    <w:rsid w:val="00DB6EFA"/>
    <w:rsid w:val="00DC6E94"/>
    <w:rsid w:val="00DC70D2"/>
    <w:rsid w:val="00DC74CA"/>
    <w:rsid w:val="00DC798F"/>
    <w:rsid w:val="00DD480D"/>
    <w:rsid w:val="00DD7AAC"/>
    <w:rsid w:val="00DE220D"/>
    <w:rsid w:val="00DE2943"/>
    <w:rsid w:val="00DE2B65"/>
    <w:rsid w:val="00DE55BF"/>
    <w:rsid w:val="00DE7DC9"/>
    <w:rsid w:val="00DF23BA"/>
    <w:rsid w:val="00DF2EC8"/>
    <w:rsid w:val="00DF4EC9"/>
    <w:rsid w:val="00E0461E"/>
    <w:rsid w:val="00E057E8"/>
    <w:rsid w:val="00E13529"/>
    <w:rsid w:val="00E14259"/>
    <w:rsid w:val="00E14EBE"/>
    <w:rsid w:val="00E15A57"/>
    <w:rsid w:val="00E2112C"/>
    <w:rsid w:val="00E22E5D"/>
    <w:rsid w:val="00E24D07"/>
    <w:rsid w:val="00E26EA2"/>
    <w:rsid w:val="00E30CB2"/>
    <w:rsid w:val="00E3371A"/>
    <w:rsid w:val="00E4380A"/>
    <w:rsid w:val="00E5453F"/>
    <w:rsid w:val="00E57408"/>
    <w:rsid w:val="00E619A8"/>
    <w:rsid w:val="00E6231C"/>
    <w:rsid w:val="00E62E24"/>
    <w:rsid w:val="00E634B3"/>
    <w:rsid w:val="00E67237"/>
    <w:rsid w:val="00E675C4"/>
    <w:rsid w:val="00E75F85"/>
    <w:rsid w:val="00E82B8D"/>
    <w:rsid w:val="00E83BB9"/>
    <w:rsid w:val="00E86A8D"/>
    <w:rsid w:val="00E903FD"/>
    <w:rsid w:val="00E93CAF"/>
    <w:rsid w:val="00E954F9"/>
    <w:rsid w:val="00E95CB8"/>
    <w:rsid w:val="00E9659F"/>
    <w:rsid w:val="00EA066B"/>
    <w:rsid w:val="00EA1752"/>
    <w:rsid w:val="00EA2FF8"/>
    <w:rsid w:val="00EA3DAF"/>
    <w:rsid w:val="00EA3E0C"/>
    <w:rsid w:val="00EA413D"/>
    <w:rsid w:val="00EA428C"/>
    <w:rsid w:val="00EA58CB"/>
    <w:rsid w:val="00EA726A"/>
    <w:rsid w:val="00EB092E"/>
    <w:rsid w:val="00EB206A"/>
    <w:rsid w:val="00EB20ED"/>
    <w:rsid w:val="00EB6198"/>
    <w:rsid w:val="00EB61AB"/>
    <w:rsid w:val="00EB651B"/>
    <w:rsid w:val="00EC0CF2"/>
    <w:rsid w:val="00EC19C4"/>
    <w:rsid w:val="00EC3E7B"/>
    <w:rsid w:val="00EC7E54"/>
    <w:rsid w:val="00ED0586"/>
    <w:rsid w:val="00ED1C53"/>
    <w:rsid w:val="00ED3D5C"/>
    <w:rsid w:val="00EE1DBE"/>
    <w:rsid w:val="00EE7CD2"/>
    <w:rsid w:val="00EF4282"/>
    <w:rsid w:val="00EF6443"/>
    <w:rsid w:val="00F009C7"/>
    <w:rsid w:val="00F027C8"/>
    <w:rsid w:val="00F166BB"/>
    <w:rsid w:val="00F16E5B"/>
    <w:rsid w:val="00F236AE"/>
    <w:rsid w:val="00F24139"/>
    <w:rsid w:val="00F24BBB"/>
    <w:rsid w:val="00F25E64"/>
    <w:rsid w:val="00F265D3"/>
    <w:rsid w:val="00F268AD"/>
    <w:rsid w:val="00F3034D"/>
    <w:rsid w:val="00F31079"/>
    <w:rsid w:val="00F31C99"/>
    <w:rsid w:val="00F35B23"/>
    <w:rsid w:val="00F37B0F"/>
    <w:rsid w:val="00F413DD"/>
    <w:rsid w:val="00F41EE7"/>
    <w:rsid w:val="00F42046"/>
    <w:rsid w:val="00F4205B"/>
    <w:rsid w:val="00F4342F"/>
    <w:rsid w:val="00F44651"/>
    <w:rsid w:val="00F46CF5"/>
    <w:rsid w:val="00F47E82"/>
    <w:rsid w:val="00F51D57"/>
    <w:rsid w:val="00F538A6"/>
    <w:rsid w:val="00F54F69"/>
    <w:rsid w:val="00F55177"/>
    <w:rsid w:val="00F64BC1"/>
    <w:rsid w:val="00F70DF9"/>
    <w:rsid w:val="00F766D3"/>
    <w:rsid w:val="00F767A2"/>
    <w:rsid w:val="00F80565"/>
    <w:rsid w:val="00F829C3"/>
    <w:rsid w:val="00F834A9"/>
    <w:rsid w:val="00F842B4"/>
    <w:rsid w:val="00F9079B"/>
    <w:rsid w:val="00F91247"/>
    <w:rsid w:val="00F91A5B"/>
    <w:rsid w:val="00F933FA"/>
    <w:rsid w:val="00F96667"/>
    <w:rsid w:val="00FA0293"/>
    <w:rsid w:val="00FA116A"/>
    <w:rsid w:val="00FA1B2A"/>
    <w:rsid w:val="00FA27A4"/>
    <w:rsid w:val="00FA6F42"/>
    <w:rsid w:val="00FB04AC"/>
    <w:rsid w:val="00FB1AB5"/>
    <w:rsid w:val="00FC3F8C"/>
    <w:rsid w:val="00FD61D5"/>
    <w:rsid w:val="00FD6570"/>
    <w:rsid w:val="00FD6955"/>
    <w:rsid w:val="00FD6DB3"/>
    <w:rsid w:val="00FD7BBC"/>
    <w:rsid w:val="00FD7D16"/>
    <w:rsid w:val="00FE0249"/>
    <w:rsid w:val="00FE29E3"/>
    <w:rsid w:val="00FE2DF4"/>
    <w:rsid w:val="00FE324B"/>
    <w:rsid w:val="00FF19F4"/>
    <w:rsid w:val="00FF2818"/>
    <w:rsid w:val="00FF2E12"/>
    <w:rsid w:val="00FF42A3"/>
    <w:rsid w:val="00FF4E57"/>
    <w:rsid w:val="00FF5640"/>
    <w:rsid w:val="00FF5C32"/>
    <w:rsid w:val="00FF617B"/>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5A922"/>
  <w15:chartTrackingRefBased/>
  <w15:docId w15:val="{F3E31BAA-2F5D-4AB0-A6DE-451EFFC67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F3A"/>
    <w:pPr>
      <w:jc w:val="both"/>
    </w:pPr>
    <w:rPr>
      <w:rFonts w:ascii="Segoe UI" w:hAnsi="Segoe UI" w:cs="Segoe UI"/>
    </w:rPr>
  </w:style>
  <w:style w:type="paragraph" w:styleId="Heading1">
    <w:name w:val="heading 1"/>
    <w:basedOn w:val="Normal"/>
    <w:next w:val="Normal"/>
    <w:link w:val="Heading1Char"/>
    <w:uiPriority w:val="9"/>
    <w:qFormat/>
    <w:rsid w:val="0058606A"/>
    <w:pPr>
      <w:keepNext/>
      <w:keepLines/>
      <w:spacing w:before="120" w:after="480" w:line="240" w:lineRule="auto"/>
      <w:jc w:val="center"/>
      <w:outlineLvl w:val="0"/>
    </w:pPr>
    <w:rPr>
      <w:rFonts w:ascii="Segoe UI Semibold" w:eastAsiaTheme="majorEastAsia" w:hAnsi="Segoe UI Semibold" w:cs="Segoe UI Semibold"/>
      <w:color w:val="FF0000"/>
      <w:sz w:val="28"/>
      <w:szCs w:val="28"/>
    </w:rPr>
  </w:style>
  <w:style w:type="paragraph" w:styleId="Heading2">
    <w:name w:val="heading 2"/>
    <w:basedOn w:val="Normal"/>
    <w:next w:val="Normal"/>
    <w:link w:val="Heading2Char"/>
    <w:uiPriority w:val="9"/>
    <w:unhideWhenUsed/>
    <w:qFormat/>
    <w:rsid w:val="00AB14D7"/>
    <w:pPr>
      <w:spacing w:before="240" w:after="120" w:line="240" w:lineRule="auto"/>
      <w:outlineLvl w:val="1"/>
    </w:pPr>
    <w:rPr>
      <w:rFonts w:ascii="Segoe UI Semibold" w:hAnsi="Segoe UI Semibold" w:cs="Segoe UI Semibold"/>
      <w:sz w:val="28"/>
      <w:szCs w:val="28"/>
    </w:rPr>
  </w:style>
  <w:style w:type="paragraph" w:styleId="Heading3">
    <w:name w:val="heading 3"/>
    <w:basedOn w:val="Heading2"/>
    <w:next w:val="Normal"/>
    <w:link w:val="Heading3Char"/>
    <w:uiPriority w:val="9"/>
    <w:unhideWhenUsed/>
    <w:qFormat/>
    <w:rsid w:val="003440FE"/>
    <w:pPr>
      <w:outlineLvl w:val="2"/>
    </w:pPr>
    <w:rPr>
      <w:rFonts w:ascii="Segoe UI" w:hAnsi="Segoe UI"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86216"/>
    <w:rPr>
      <w:rFonts w:ascii="CIDFont+F2" w:hAnsi="CIDFont+F2" w:hint="default"/>
      <w:b/>
      <w:bCs/>
      <w:i w:val="0"/>
      <w:iCs w:val="0"/>
      <w:color w:val="000000"/>
      <w:sz w:val="24"/>
      <w:szCs w:val="24"/>
    </w:rPr>
  </w:style>
  <w:style w:type="character" w:customStyle="1" w:styleId="fontstyle21">
    <w:name w:val="fontstyle21"/>
    <w:basedOn w:val="DefaultParagraphFont"/>
    <w:rsid w:val="00B24467"/>
    <w:rPr>
      <w:rFonts w:ascii="CIDFont+F2" w:hAnsi="CIDFont+F2" w:hint="default"/>
      <w:b/>
      <w:bCs/>
      <w:i w:val="0"/>
      <w:iCs w:val="0"/>
      <w:color w:val="000000"/>
      <w:sz w:val="24"/>
      <w:szCs w:val="24"/>
    </w:rPr>
  </w:style>
  <w:style w:type="paragraph" w:styleId="Title">
    <w:name w:val="Title"/>
    <w:basedOn w:val="Normal"/>
    <w:next w:val="Normal"/>
    <w:link w:val="TitleChar"/>
    <w:uiPriority w:val="10"/>
    <w:qFormat/>
    <w:rsid w:val="0058606A"/>
    <w:pPr>
      <w:spacing w:after="0" w:line="240" w:lineRule="auto"/>
      <w:contextualSpacing/>
      <w:jc w:val="center"/>
    </w:pPr>
    <w:rPr>
      <w:rFonts w:ascii="Segoe UI Semibold" w:eastAsiaTheme="majorEastAsia" w:hAnsi="Segoe UI Semibold" w:cs="Segoe UI Semibold"/>
      <w:spacing w:val="-10"/>
      <w:kern w:val="28"/>
      <w:sz w:val="40"/>
      <w:szCs w:val="40"/>
    </w:rPr>
  </w:style>
  <w:style w:type="character" w:customStyle="1" w:styleId="TitleChar">
    <w:name w:val="Title Char"/>
    <w:basedOn w:val="DefaultParagraphFont"/>
    <w:link w:val="Title"/>
    <w:uiPriority w:val="10"/>
    <w:rsid w:val="0058606A"/>
    <w:rPr>
      <w:rFonts w:ascii="Segoe UI Semibold" w:eastAsiaTheme="majorEastAsia" w:hAnsi="Segoe UI Semibold" w:cs="Segoe UI Semibold"/>
      <w:spacing w:val="-10"/>
      <w:kern w:val="28"/>
      <w:sz w:val="40"/>
      <w:szCs w:val="40"/>
    </w:rPr>
  </w:style>
  <w:style w:type="character" w:customStyle="1" w:styleId="Heading1Char">
    <w:name w:val="Heading 1 Char"/>
    <w:basedOn w:val="DefaultParagraphFont"/>
    <w:link w:val="Heading1"/>
    <w:uiPriority w:val="9"/>
    <w:rsid w:val="0058606A"/>
    <w:rPr>
      <w:rFonts w:ascii="Segoe UI Semibold" w:eastAsiaTheme="majorEastAsia" w:hAnsi="Segoe UI Semibold" w:cs="Segoe UI Semibold"/>
      <w:color w:val="FF0000"/>
      <w:sz w:val="28"/>
      <w:szCs w:val="28"/>
    </w:rPr>
  </w:style>
  <w:style w:type="character" w:customStyle="1" w:styleId="Heading2Char">
    <w:name w:val="Heading 2 Char"/>
    <w:basedOn w:val="DefaultParagraphFont"/>
    <w:link w:val="Heading2"/>
    <w:uiPriority w:val="9"/>
    <w:rsid w:val="00AB14D7"/>
    <w:rPr>
      <w:rFonts w:ascii="Segoe UI Semibold" w:hAnsi="Segoe UI Semibold" w:cs="Segoe UI Semibold"/>
      <w:sz w:val="28"/>
      <w:szCs w:val="28"/>
    </w:rPr>
  </w:style>
  <w:style w:type="paragraph" w:styleId="Header">
    <w:name w:val="header"/>
    <w:basedOn w:val="Normal"/>
    <w:link w:val="HeaderChar"/>
    <w:uiPriority w:val="99"/>
    <w:unhideWhenUsed/>
    <w:rsid w:val="00546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9A3"/>
    <w:rPr>
      <w:rFonts w:ascii="Segoe UI" w:hAnsi="Segoe UI" w:cs="Segoe UI"/>
    </w:rPr>
  </w:style>
  <w:style w:type="paragraph" w:styleId="Footer">
    <w:name w:val="footer"/>
    <w:basedOn w:val="Normal"/>
    <w:link w:val="FooterChar"/>
    <w:uiPriority w:val="99"/>
    <w:unhideWhenUsed/>
    <w:rsid w:val="00546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9A3"/>
    <w:rPr>
      <w:rFonts w:ascii="Segoe UI" w:hAnsi="Segoe UI" w:cs="Segoe UI"/>
    </w:rPr>
  </w:style>
  <w:style w:type="character" w:styleId="IntenseEmphasis">
    <w:name w:val="Intense Emphasis"/>
    <w:basedOn w:val="DefaultParagraphFont"/>
    <w:uiPriority w:val="21"/>
    <w:qFormat/>
    <w:rsid w:val="005469A3"/>
    <w:rPr>
      <w:i/>
      <w:iCs/>
      <w:color w:val="4472C4" w:themeColor="accent1"/>
    </w:rPr>
  </w:style>
  <w:style w:type="character" w:styleId="Emphasis">
    <w:name w:val="Emphasis"/>
    <w:basedOn w:val="DefaultParagraphFont"/>
    <w:uiPriority w:val="20"/>
    <w:qFormat/>
    <w:rsid w:val="00F268AD"/>
    <w:rPr>
      <w:i/>
      <w:iCs/>
      <w:sz w:val="18"/>
      <w:szCs w:val="18"/>
    </w:rPr>
  </w:style>
  <w:style w:type="character" w:customStyle="1" w:styleId="Heading3Char">
    <w:name w:val="Heading 3 Char"/>
    <w:basedOn w:val="DefaultParagraphFont"/>
    <w:link w:val="Heading3"/>
    <w:uiPriority w:val="9"/>
    <w:rsid w:val="003440FE"/>
    <w:rPr>
      <w:rFonts w:ascii="Segoe UI" w:hAnsi="Segoe UI" w:cs="Segoe UI"/>
      <w:i/>
      <w:iCs/>
    </w:rPr>
  </w:style>
  <w:style w:type="paragraph" w:styleId="Subtitle">
    <w:name w:val="Subtitle"/>
    <w:basedOn w:val="Normal"/>
    <w:next w:val="Normal"/>
    <w:link w:val="SubtitleChar"/>
    <w:uiPriority w:val="11"/>
    <w:qFormat/>
    <w:rsid w:val="007C3A8C"/>
    <w:rPr>
      <w:i/>
      <w:iCs/>
    </w:rPr>
  </w:style>
  <w:style w:type="character" w:customStyle="1" w:styleId="SubtitleChar">
    <w:name w:val="Subtitle Char"/>
    <w:basedOn w:val="DefaultParagraphFont"/>
    <w:link w:val="Subtitle"/>
    <w:uiPriority w:val="11"/>
    <w:rsid w:val="007C3A8C"/>
    <w:rPr>
      <w:rFonts w:ascii="Segoe UI" w:hAnsi="Segoe UI" w:cs="Segoe UI"/>
      <w:i/>
      <w:iCs/>
    </w:rPr>
  </w:style>
  <w:style w:type="character" w:styleId="CommentReference">
    <w:name w:val="annotation reference"/>
    <w:basedOn w:val="DefaultParagraphFont"/>
    <w:uiPriority w:val="99"/>
    <w:semiHidden/>
    <w:unhideWhenUsed/>
    <w:rsid w:val="00732B33"/>
    <w:rPr>
      <w:sz w:val="16"/>
      <w:szCs w:val="16"/>
    </w:rPr>
  </w:style>
  <w:style w:type="paragraph" w:styleId="CommentText">
    <w:name w:val="annotation text"/>
    <w:basedOn w:val="Normal"/>
    <w:link w:val="CommentTextChar"/>
    <w:uiPriority w:val="99"/>
    <w:unhideWhenUsed/>
    <w:rsid w:val="00732B33"/>
    <w:pPr>
      <w:spacing w:line="240" w:lineRule="auto"/>
    </w:pPr>
    <w:rPr>
      <w:sz w:val="20"/>
      <w:szCs w:val="20"/>
    </w:rPr>
  </w:style>
  <w:style w:type="character" w:customStyle="1" w:styleId="CommentTextChar">
    <w:name w:val="Comment Text Char"/>
    <w:basedOn w:val="DefaultParagraphFont"/>
    <w:link w:val="CommentText"/>
    <w:uiPriority w:val="99"/>
    <w:rsid w:val="00732B33"/>
    <w:rPr>
      <w:rFonts w:ascii="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732B33"/>
    <w:rPr>
      <w:b/>
      <w:bCs/>
    </w:rPr>
  </w:style>
  <w:style w:type="character" w:customStyle="1" w:styleId="CommentSubjectChar">
    <w:name w:val="Comment Subject Char"/>
    <w:basedOn w:val="CommentTextChar"/>
    <w:link w:val="CommentSubject"/>
    <w:uiPriority w:val="99"/>
    <w:semiHidden/>
    <w:rsid w:val="00732B33"/>
    <w:rPr>
      <w:rFonts w:ascii="Segoe UI" w:hAnsi="Segoe UI" w:cs="Segoe UI"/>
      <w:b/>
      <w:bCs/>
      <w:sz w:val="20"/>
      <w:szCs w:val="20"/>
    </w:rPr>
  </w:style>
  <w:style w:type="paragraph" w:styleId="Revision">
    <w:name w:val="Revision"/>
    <w:hidden/>
    <w:uiPriority w:val="99"/>
    <w:semiHidden/>
    <w:rsid w:val="00732B33"/>
    <w:pPr>
      <w:spacing w:after="0" w:line="240" w:lineRule="auto"/>
    </w:pPr>
    <w:rPr>
      <w:rFonts w:ascii="Segoe UI" w:hAnsi="Segoe UI" w:cs="Segoe UI"/>
    </w:rPr>
  </w:style>
  <w:style w:type="paragraph" w:styleId="IntenseQuote">
    <w:name w:val="Intense Quote"/>
    <w:basedOn w:val="Normal"/>
    <w:next w:val="Normal"/>
    <w:link w:val="IntenseQuoteChar"/>
    <w:uiPriority w:val="30"/>
    <w:qFormat/>
    <w:rsid w:val="00BB20CB"/>
    <w:pPr>
      <w:pBdr>
        <w:top w:val="single" w:sz="4" w:space="6" w:color="4472C4" w:themeColor="accent1"/>
        <w:bottom w:val="single" w:sz="4" w:space="6" w:color="4472C4" w:themeColor="accent1"/>
      </w:pBdr>
      <w:spacing w:after="0" w:line="240" w:lineRule="auto"/>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B20CB"/>
    <w:rPr>
      <w:rFonts w:ascii="Segoe UI" w:hAnsi="Segoe UI" w:cs="Segoe UI"/>
      <w:i/>
      <w:iCs/>
      <w:color w:val="4472C4" w:themeColor="accent1"/>
    </w:rPr>
  </w:style>
  <w:style w:type="paragraph" w:styleId="ListParagraph">
    <w:name w:val="List Paragraph"/>
    <w:basedOn w:val="Normal"/>
    <w:uiPriority w:val="34"/>
    <w:qFormat/>
    <w:rsid w:val="006D78B2"/>
    <w:pPr>
      <w:ind w:left="720"/>
      <w:contextualSpacing/>
    </w:pPr>
  </w:style>
  <w:style w:type="paragraph" w:styleId="NoSpacing">
    <w:name w:val="No Spacing"/>
    <w:basedOn w:val="Heading2"/>
    <w:uiPriority w:val="1"/>
    <w:qFormat/>
    <w:rsid w:val="001E481E"/>
    <w:pPr>
      <w:spacing w:before="0"/>
      <w:jc w:val="left"/>
    </w:pPr>
    <w:rPr>
      <w:rFonts w:eastAsiaTheme="minorEastAsia"/>
      <w:lang w:eastAsia="zh-CN"/>
    </w:rPr>
  </w:style>
  <w:style w:type="paragraph" w:styleId="NormalWeb">
    <w:name w:val="Normal (Web)"/>
    <w:basedOn w:val="Normal"/>
    <w:uiPriority w:val="99"/>
    <w:semiHidden/>
    <w:unhideWhenUsed/>
    <w:rsid w:val="00A06D0F"/>
    <w:pPr>
      <w:spacing w:before="100" w:beforeAutospacing="1" w:after="100" w:afterAutospacing="1" w:line="240" w:lineRule="auto"/>
      <w:jc w:val="left"/>
    </w:pPr>
    <w:rPr>
      <w:rFonts w:ascii="Times New Roman" w:eastAsia="Times New Roman" w:hAnsi="Times New Roman" w:cs="Times New Roman"/>
      <w:sz w:val="24"/>
      <w:szCs w:val="24"/>
      <w:lang w:bidi="si-LK"/>
    </w:rPr>
  </w:style>
  <w:style w:type="character" w:customStyle="1" w:styleId="hw">
    <w:name w:val="hw"/>
    <w:basedOn w:val="DefaultParagraphFont"/>
    <w:rsid w:val="004738E3"/>
  </w:style>
  <w:style w:type="table" w:styleId="TableGrid">
    <w:name w:val="Table Grid"/>
    <w:basedOn w:val="TableNormal"/>
    <w:uiPriority w:val="39"/>
    <w:rsid w:val="00F96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97117">
      <w:bodyDiv w:val="1"/>
      <w:marLeft w:val="0"/>
      <w:marRight w:val="0"/>
      <w:marTop w:val="0"/>
      <w:marBottom w:val="0"/>
      <w:divBdr>
        <w:top w:val="none" w:sz="0" w:space="0" w:color="auto"/>
        <w:left w:val="none" w:sz="0" w:space="0" w:color="auto"/>
        <w:bottom w:val="none" w:sz="0" w:space="0" w:color="auto"/>
        <w:right w:val="none" w:sz="0" w:space="0" w:color="auto"/>
      </w:divBdr>
    </w:div>
    <w:div w:id="114101109">
      <w:bodyDiv w:val="1"/>
      <w:marLeft w:val="0"/>
      <w:marRight w:val="0"/>
      <w:marTop w:val="0"/>
      <w:marBottom w:val="0"/>
      <w:divBdr>
        <w:top w:val="none" w:sz="0" w:space="0" w:color="auto"/>
        <w:left w:val="none" w:sz="0" w:space="0" w:color="auto"/>
        <w:bottom w:val="none" w:sz="0" w:space="0" w:color="auto"/>
        <w:right w:val="none" w:sz="0" w:space="0" w:color="auto"/>
      </w:divBdr>
    </w:div>
    <w:div w:id="390083437">
      <w:bodyDiv w:val="1"/>
      <w:marLeft w:val="0"/>
      <w:marRight w:val="0"/>
      <w:marTop w:val="0"/>
      <w:marBottom w:val="0"/>
      <w:divBdr>
        <w:top w:val="none" w:sz="0" w:space="0" w:color="auto"/>
        <w:left w:val="none" w:sz="0" w:space="0" w:color="auto"/>
        <w:bottom w:val="none" w:sz="0" w:space="0" w:color="auto"/>
        <w:right w:val="none" w:sz="0" w:space="0" w:color="auto"/>
      </w:divBdr>
    </w:div>
    <w:div w:id="508714764">
      <w:bodyDiv w:val="1"/>
      <w:marLeft w:val="0"/>
      <w:marRight w:val="0"/>
      <w:marTop w:val="0"/>
      <w:marBottom w:val="0"/>
      <w:divBdr>
        <w:top w:val="none" w:sz="0" w:space="0" w:color="auto"/>
        <w:left w:val="none" w:sz="0" w:space="0" w:color="auto"/>
        <w:bottom w:val="none" w:sz="0" w:space="0" w:color="auto"/>
        <w:right w:val="none" w:sz="0" w:space="0" w:color="auto"/>
      </w:divBdr>
    </w:div>
    <w:div w:id="549462795">
      <w:bodyDiv w:val="1"/>
      <w:marLeft w:val="0"/>
      <w:marRight w:val="0"/>
      <w:marTop w:val="0"/>
      <w:marBottom w:val="0"/>
      <w:divBdr>
        <w:top w:val="none" w:sz="0" w:space="0" w:color="auto"/>
        <w:left w:val="none" w:sz="0" w:space="0" w:color="auto"/>
        <w:bottom w:val="none" w:sz="0" w:space="0" w:color="auto"/>
        <w:right w:val="none" w:sz="0" w:space="0" w:color="auto"/>
      </w:divBdr>
    </w:div>
    <w:div w:id="745416226">
      <w:bodyDiv w:val="1"/>
      <w:marLeft w:val="0"/>
      <w:marRight w:val="0"/>
      <w:marTop w:val="0"/>
      <w:marBottom w:val="0"/>
      <w:divBdr>
        <w:top w:val="none" w:sz="0" w:space="0" w:color="auto"/>
        <w:left w:val="none" w:sz="0" w:space="0" w:color="auto"/>
        <w:bottom w:val="none" w:sz="0" w:space="0" w:color="auto"/>
        <w:right w:val="none" w:sz="0" w:space="0" w:color="auto"/>
      </w:divBdr>
    </w:div>
    <w:div w:id="823929222">
      <w:bodyDiv w:val="1"/>
      <w:marLeft w:val="0"/>
      <w:marRight w:val="0"/>
      <w:marTop w:val="0"/>
      <w:marBottom w:val="0"/>
      <w:divBdr>
        <w:top w:val="none" w:sz="0" w:space="0" w:color="auto"/>
        <w:left w:val="none" w:sz="0" w:space="0" w:color="auto"/>
        <w:bottom w:val="none" w:sz="0" w:space="0" w:color="auto"/>
        <w:right w:val="none" w:sz="0" w:space="0" w:color="auto"/>
      </w:divBdr>
    </w:div>
    <w:div w:id="841119961">
      <w:bodyDiv w:val="1"/>
      <w:marLeft w:val="0"/>
      <w:marRight w:val="0"/>
      <w:marTop w:val="0"/>
      <w:marBottom w:val="0"/>
      <w:divBdr>
        <w:top w:val="none" w:sz="0" w:space="0" w:color="auto"/>
        <w:left w:val="none" w:sz="0" w:space="0" w:color="auto"/>
        <w:bottom w:val="none" w:sz="0" w:space="0" w:color="auto"/>
        <w:right w:val="none" w:sz="0" w:space="0" w:color="auto"/>
      </w:divBdr>
    </w:div>
    <w:div w:id="1018586135">
      <w:bodyDiv w:val="1"/>
      <w:marLeft w:val="0"/>
      <w:marRight w:val="0"/>
      <w:marTop w:val="0"/>
      <w:marBottom w:val="0"/>
      <w:divBdr>
        <w:top w:val="none" w:sz="0" w:space="0" w:color="auto"/>
        <w:left w:val="none" w:sz="0" w:space="0" w:color="auto"/>
        <w:bottom w:val="none" w:sz="0" w:space="0" w:color="auto"/>
        <w:right w:val="none" w:sz="0" w:space="0" w:color="auto"/>
      </w:divBdr>
    </w:div>
    <w:div w:id="1130898268">
      <w:bodyDiv w:val="1"/>
      <w:marLeft w:val="0"/>
      <w:marRight w:val="0"/>
      <w:marTop w:val="0"/>
      <w:marBottom w:val="0"/>
      <w:divBdr>
        <w:top w:val="none" w:sz="0" w:space="0" w:color="auto"/>
        <w:left w:val="none" w:sz="0" w:space="0" w:color="auto"/>
        <w:bottom w:val="none" w:sz="0" w:space="0" w:color="auto"/>
        <w:right w:val="none" w:sz="0" w:space="0" w:color="auto"/>
      </w:divBdr>
    </w:div>
    <w:div w:id="1491405844">
      <w:bodyDiv w:val="1"/>
      <w:marLeft w:val="0"/>
      <w:marRight w:val="0"/>
      <w:marTop w:val="0"/>
      <w:marBottom w:val="0"/>
      <w:divBdr>
        <w:top w:val="none" w:sz="0" w:space="0" w:color="auto"/>
        <w:left w:val="none" w:sz="0" w:space="0" w:color="auto"/>
        <w:bottom w:val="none" w:sz="0" w:space="0" w:color="auto"/>
        <w:right w:val="none" w:sz="0" w:space="0" w:color="auto"/>
      </w:divBdr>
    </w:div>
    <w:div w:id="1580821049">
      <w:bodyDiv w:val="1"/>
      <w:marLeft w:val="0"/>
      <w:marRight w:val="0"/>
      <w:marTop w:val="0"/>
      <w:marBottom w:val="0"/>
      <w:divBdr>
        <w:top w:val="none" w:sz="0" w:space="0" w:color="auto"/>
        <w:left w:val="none" w:sz="0" w:space="0" w:color="auto"/>
        <w:bottom w:val="none" w:sz="0" w:space="0" w:color="auto"/>
        <w:right w:val="none" w:sz="0" w:space="0" w:color="auto"/>
      </w:divBdr>
    </w:div>
    <w:div w:id="1748765266">
      <w:bodyDiv w:val="1"/>
      <w:marLeft w:val="0"/>
      <w:marRight w:val="0"/>
      <w:marTop w:val="0"/>
      <w:marBottom w:val="0"/>
      <w:divBdr>
        <w:top w:val="none" w:sz="0" w:space="0" w:color="auto"/>
        <w:left w:val="none" w:sz="0" w:space="0" w:color="auto"/>
        <w:bottom w:val="none" w:sz="0" w:space="0" w:color="auto"/>
        <w:right w:val="none" w:sz="0" w:space="0" w:color="auto"/>
      </w:divBdr>
    </w:div>
    <w:div w:id="1866014305">
      <w:bodyDiv w:val="1"/>
      <w:marLeft w:val="0"/>
      <w:marRight w:val="0"/>
      <w:marTop w:val="0"/>
      <w:marBottom w:val="0"/>
      <w:divBdr>
        <w:top w:val="none" w:sz="0" w:space="0" w:color="auto"/>
        <w:left w:val="none" w:sz="0" w:space="0" w:color="auto"/>
        <w:bottom w:val="none" w:sz="0" w:space="0" w:color="auto"/>
        <w:right w:val="none" w:sz="0" w:space="0" w:color="auto"/>
      </w:divBdr>
    </w:div>
    <w:div w:id="190444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A4FC0-DF94-48DB-98B7-C8B27A3B3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Buddhika Dilrukshi</dc:creator>
  <cp:keywords/>
  <dc:description/>
  <cp:lastModifiedBy>Buddhika Dilrukshi</cp:lastModifiedBy>
  <cp:revision>2</cp:revision>
  <cp:lastPrinted>2022-05-31T08:44:00Z</cp:lastPrinted>
  <dcterms:created xsi:type="dcterms:W3CDTF">2022-09-07T05:55:00Z</dcterms:created>
  <dcterms:modified xsi:type="dcterms:W3CDTF">2022-09-07T05:55:00Z</dcterms:modified>
</cp:coreProperties>
</file>